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52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eastAsia="方正小标宋_GBK" w:cs="宋体" w:hAnsiTheme="minorEastAsia"/>
          <w:color w:val="auto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eastAsia="方正小标宋_GBK" w:cs="宋体" w:hAnsiTheme="minorEastAsia"/>
          <w:color w:val="auto"/>
          <w:kern w:val="0"/>
          <w:sz w:val="44"/>
          <w:szCs w:val="44"/>
        </w:rPr>
        <w:t>合川区人民医院</w:t>
      </w:r>
      <w:r>
        <w:rPr>
          <w:rFonts w:hint="eastAsia" w:ascii="方正小标宋_GBK" w:eastAsia="方正小标宋_GBK" w:cs="宋体" w:hAnsiTheme="minorEastAsia"/>
          <w:color w:val="auto"/>
          <w:kern w:val="0"/>
          <w:sz w:val="44"/>
          <w:szCs w:val="44"/>
          <w:lang w:val="en-US" w:eastAsia="zh-CN"/>
        </w:rPr>
        <w:t>关于召开医院</w:t>
      </w:r>
      <w:r>
        <w:rPr>
          <w:rFonts w:hint="eastAsia" w:ascii="方正小标宋_GBK" w:eastAsia="方正小标宋_GBK" w:cs="宋体" w:hAnsiTheme="minorEastAsia"/>
          <w:color w:val="auto"/>
          <w:kern w:val="0"/>
          <w:sz w:val="44"/>
          <w:szCs w:val="44"/>
        </w:rPr>
        <w:t>文化</w:t>
      </w:r>
      <w:r>
        <w:rPr>
          <w:rFonts w:hint="eastAsia" w:ascii="方正小标宋_GBK" w:eastAsia="方正小标宋_GBK" w:cs="宋体" w:hAnsiTheme="minorEastAsia"/>
          <w:color w:val="auto"/>
          <w:kern w:val="0"/>
          <w:sz w:val="44"/>
          <w:szCs w:val="44"/>
          <w:lang w:val="en-US" w:eastAsia="zh-CN"/>
        </w:rPr>
        <w:t>品牌建设</w:t>
      </w:r>
      <w:r>
        <w:rPr>
          <w:rFonts w:hint="eastAsia" w:ascii="方正小标宋_GBK" w:eastAsia="方正小标宋_GBK" w:cs="宋体" w:hAnsiTheme="minorEastAsia"/>
          <w:color w:val="auto"/>
          <w:kern w:val="0"/>
          <w:sz w:val="44"/>
          <w:szCs w:val="44"/>
        </w:rPr>
        <w:t>项目</w:t>
      </w:r>
      <w:r>
        <w:rPr>
          <w:rFonts w:hint="eastAsia" w:ascii="方正小标宋_GBK" w:eastAsia="方正小标宋_GBK" w:cs="宋体" w:hAnsiTheme="minorEastAsia"/>
          <w:color w:val="auto"/>
          <w:kern w:val="0"/>
          <w:sz w:val="44"/>
          <w:szCs w:val="44"/>
          <w:lang w:val="en-US" w:eastAsia="zh-CN"/>
        </w:rPr>
        <w:t>概念方案</w:t>
      </w:r>
      <w:r>
        <w:rPr>
          <w:rFonts w:hint="eastAsia" w:ascii="方正小标宋_GBK" w:eastAsia="方正小标宋_GBK" w:cs="宋体" w:hAnsiTheme="minorEastAsia"/>
          <w:color w:val="auto"/>
          <w:kern w:val="0"/>
          <w:sz w:val="44"/>
          <w:szCs w:val="44"/>
        </w:rPr>
        <w:t>阳光推介活动</w:t>
      </w:r>
      <w:r>
        <w:rPr>
          <w:rFonts w:hint="eastAsia" w:ascii="方正小标宋_GBK" w:eastAsia="方正小标宋_GBK" w:cs="宋体" w:hAnsiTheme="minorEastAsia"/>
          <w:color w:val="auto"/>
          <w:kern w:val="0"/>
          <w:sz w:val="44"/>
          <w:szCs w:val="44"/>
          <w:lang w:val="en-US" w:eastAsia="zh-CN"/>
        </w:rPr>
        <w:t>的通知</w:t>
      </w:r>
    </w:p>
    <w:p w14:paraId="10F84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9A6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各潜在供应商 ：</w:t>
      </w:r>
    </w:p>
    <w:p w14:paraId="44BDE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为全面提升我院就医环境品质，塑造具有人文关怀与地域特色的医院文化形象，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医院拟对文化品牌建设进行再设计再打造，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现诚邀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各符合要求的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参与我院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文化品牌建设项目概念方案阳光推介活动。现将有关情况通知如下。</w:t>
      </w:r>
    </w:p>
    <w:p w14:paraId="41BC7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一、项目名称：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医院文化品牌建设项目</w:t>
      </w:r>
    </w:p>
    <w:p w14:paraId="6266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二、参与条件：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以下条件缺一不可</w:t>
      </w:r>
    </w:p>
    <w:p w14:paraId="4C9F94C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1.资格条件</w:t>
      </w:r>
    </w:p>
    <w:p w14:paraId="7F6570F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①具有独立承担民事责任的能力；</w:t>
      </w:r>
    </w:p>
    <w:p w14:paraId="1A2B63F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②具有良好的商业信誉和健全的财务会计制度；</w:t>
      </w:r>
    </w:p>
    <w:p w14:paraId="3486D7A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③具有履行合同所必需的设备和专业技术能力；</w:t>
      </w:r>
    </w:p>
    <w:p w14:paraId="713A8D7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④有依法缴纳税收和社会保障资金的良好记录；</w:t>
      </w:r>
    </w:p>
    <w:p w14:paraId="4D41FAC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⑤三年内在经营活动中无重大违纪记录；</w:t>
      </w:r>
    </w:p>
    <w:p w14:paraId="0CB9A01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⑥法律、行政法规规定的其他条件。</w:t>
      </w:r>
    </w:p>
    <w:p w14:paraId="35891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2.其他条件</w:t>
      </w:r>
    </w:p>
    <w:p w14:paraId="0D56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①近3年在三级医院承接过文化类创意设计或者施工制作业绩1个及以上，提供合同复印件、发票，加盖投标人鲜章，原件备查。</w:t>
      </w:r>
    </w:p>
    <w:p w14:paraId="3F58B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②供应商项目团队成员应至少具有一名视觉传达、新闻学、数字媒体艺术、园林园艺、艺术设计、动漫制作技术专业人才。项目团队成员需提供本单位社保证明。</w:t>
      </w:r>
    </w:p>
    <w:p w14:paraId="6C67B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三、报名时间及方式：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日18:00截止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符合条件的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需要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将报名资料（第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点包含内容）发送至邮箱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278372632@qq.com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。邮件主题：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项目名称+商家名称+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负责人姓名电话。</w:t>
      </w:r>
    </w:p>
    <w:p w14:paraId="6963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四、推介活动时间及地点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lang w:val="en-US" w:eastAsia="zh-CN"/>
        </w:rPr>
        <w:t>2025年6月20日下午15：00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，合川区人民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医院行政楼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四楼中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会议室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（时间地点如有变化，院方会电话通知）。</w:t>
      </w:r>
    </w:p>
    <w:p w14:paraId="5173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现场需提供咨询方案（纸质，并加盖鲜章，格式可参考投标文件制作，并标注目录和对应页码）。</w:t>
      </w:r>
    </w:p>
    <w:p w14:paraId="32F86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六、咨询方案需包含如下内容：</w:t>
      </w:r>
    </w:p>
    <w:p w14:paraId="33B28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1.提供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相关资质。</w:t>
      </w:r>
    </w:p>
    <w:p w14:paraId="28ED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2.概念设计方案一份：</w:t>
      </w:r>
    </w:p>
    <w:p w14:paraId="75226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①文化理念与品牌VIS系统：底蕴文化、总体思路、价值理念、党建统领、VI系统等。</w:t>
      </w:r>
    </w:p>
    <w:p w14:paraId="443C1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②创意呈现：导视系统提升、门诊部文化空间打造、行政楼文化空间打造、住院部文化空间打造等。</w:t>
      </w:r>
    </w:p>
    <w:p w14:paraId="11E7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③技术参数：方案应包含材质说明、工艺标准等细节技术参数。</w:t>
      </w:r>
    </w:p>
    <w:p w14:paraId="387E0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3.近3年在三级医院承接过文化展陈类创意设计或者施工制作业绩（附合同及发票）。</w:t>
      </w:r>
    </w:p>
    <w:p w14:paraId="0194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4.商务部分：需提供报价单、供货期、质保期、售后服务、质保期外年维保费用或占比等。</w:t>
      </w:r>
    </w:p>
    <w:p w14:paraId="174AA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现场简明扼要介绍概念方案，每家时间控制在10分钟以内。</w:t>
      </w:r>
    </w:p>
    <w:p w14:paraId="6AC9F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八、现场评标专家：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院领导及相关职能科室负责人</w:t>
      </w:r>
    </w:p>
    <w:p w14:paraId="5DDE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九、实地踏勘：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可根据采购人需求，自行前往现场踏勘后进行策划设计。</w:t>
      </w:r>
    </w:p>
    <w:p w14:paraId="6F815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十、联系人：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杨老师（15223447563）</w:t>
      </w:r>
    </w:p>
    <w:p w14:paraId="71885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3EEE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9927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附件：1.合川区人民医院文化品牌建设项目需求清单</w:t>
      </w:r>
    </w:p>
    <w:p w14:paraId="606BB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D62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重庆市合川区人民医院</w:t>
      </w:r>
    </w:p>
    <w:p w14:paraId="6264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2025年5月22日</w:t>
      </w:r>
    </w:p>
    <w:p w14:paraId="1A391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F713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2946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E4B2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3A2C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397B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合川区人民医院文化品牌建设项目需求清单</w:t>
      </w:r>
    </w:p>
    <w:tbl>
      <w:tblPr>
        <w:tblStyle w:val="6"/>
        <w:tblW w:w="140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934"/>
        <w:gridCol w:w="2673"/>
        <w:gridCol w:w="3038"/>
        <w:gridCol w:w="820"/>
        <w:gridCol w:w="1338"/>
        <w:gridCol w:w="1650"/>
        <w:gridCol w:w="1477"/>
      </w:tblGrid>
      <w:tr w14:paraId="5087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6F4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C6C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5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9D6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FD0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61C1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建议数量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（以实际为准）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EE2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设计参数（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供应商实地勘测设计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381C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</w:tr>
      <w:tr w14:paraId="1A06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47D2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文化理念与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品牌VIS系统</w:t>
            </w:r>
          </w:p>
        </w:tc>
        <w:tc>
          <w:tcPr>
            <w:tcW w:w="5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  <w:t>1.底蕴文化：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合川历史文化之底蕴挖掘与医院文化灵魂构建的关联性提炼。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F3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34BE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2.总体思路: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基于合川人民医院发展战略的文化建设总体思路。</w:t>
            </w:r>
          </w:p>
        </w:tc>
        <w:tc>
          <w:tcPr>
            <w:tcW w:w="8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9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04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7C56D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8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3.价值理念：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合川区人民医院现有价值理念体系的重构与诠释，核心理念、人文精 神、院训、院风、办院宗旨、施治理念、发展愿景等的提炼等。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A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1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A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2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01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5235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4.党建统领：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党建工作统领医院业务发展的路径建议，品牌体系构建，文化融合与形象塑造，服务场景创新与效率提升，清廉文化、法治文化、党建文化（包含一支一品）等。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2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C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A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7D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DADE"/>
            <w:vAlign w:val="center"/>
          </w:tcPr>
          <w:p w14:paraId="264F6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5.VI系统：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基础要素整合设计、标志院徽类、行政办公事务用品、品牌IP文创类、新 媒体运营类、荣誉体系类、体检类、业务类、服饰类、礼仪用品类、会议类、宣传类、电子文档类等。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1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F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A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D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F5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B64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导视系统提升</w:t>
            </w:r>
          </w:p>
        </w:tc>
        <w:tc>
          <w:tcPr>
            <w:tcW w:w="5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全院导视系统概念方案设计（含门/急诊部、住院部、综合楼、三期工程）：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包含导视外环境/内环境、一级、二级、三级、四级等导视系统、标识设计及布点规划。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FC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C72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全院一级导视（户外）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门诊室外精神堡垒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D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4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7B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DA82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F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急诊室外精神堡垒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AD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1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B603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B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住院部外精神堡垒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E4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04E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1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急危重症中心外精神堡垒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A3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2DA65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0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户外总平图标识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96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317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C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户外道路指引牌（立地式）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C4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881B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3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建筑物入口指引牌（立地式）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31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C20C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A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地面停车场指引牌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40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C210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D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地下车库指引牌标识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4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F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35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7B814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4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户外宣传栏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4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59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236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B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无障碍通道标识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BF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7234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4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户外温馨提示牌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8B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304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无烟医院标识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2A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B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EBBA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门诊部二级导视系统（暂不含急诊科）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大厅楼层总索引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8C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3B95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2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大厅专家介绍广告机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78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7FBAF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2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功能区指引牌（悬吊式）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D2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AAB5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2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电梯厅楼层索引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91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C8E3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B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电梯厅楼层号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5A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2954D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手扶梯楼层索引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1A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F70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E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手扶梯楼层号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D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BE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628C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E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地面标线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CDF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2588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三级导视（门诊）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导诊台标识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D9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900D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E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分诊台标识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53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BF65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B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服务时间标识牌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E8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9FD0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2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服务窗口标识牌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AF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3C74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门诊部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文化空间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打造</w:t>
            </w:r>
          </w:p>
        </w:tc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科普广场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（门诊前广场）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院赋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2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C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F2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0E03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主通道两侧文化景墙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4C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15C48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B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花园科普文化牌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D0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40298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门诊部一楼大厅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大厅弧形屏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E7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51DB3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5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大厅入口玻璃门改造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86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375EC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1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导医台背景墙改造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B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A3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60C3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门诊部1-5F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科室文化打造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3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6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1F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2CDF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门诊后门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浮雕墙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3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52652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E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门诊部文化空间打造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室内文化长廊：一楼左右两侧（放射科急诊科）通道。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291.00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B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A3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4193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文化长廊①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（门诊部-住院部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风雨长廊）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文化展陈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F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C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26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77AA9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0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0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吊顶装饰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7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5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50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52FAC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住院部一楼文化空间打造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D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  <w:lang w:val="en-US" w:eastAsia="zh-CN"/>
              </w:rPr>
              <w:t>住院部大厅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大厅改造：一站式服务中心及后侧背景墙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F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2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B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5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5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B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398C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C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  <w:lang w:val="en-US" w:eastAsia="zh-CN"/>
              </w:rPr>
              <w:t>住院部大厅后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室内文化墙：大厅背景墙后墙、电梯厅外两面文化墙、侧门大厅打造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77.10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7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1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D5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7B74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行政楼文化空间打造</w:t>
            </w:r>
          </w:p>
        </w:tc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行政楼一楼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一楼大厅装饰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198.15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4F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4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5E7E3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一楼大厅墙面文化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CF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DB61"/>
            <w:vAlign w:val="center"/>
          </w:tcPr>
          <w:p w14:paraId="02478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C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行政楼1-4楼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各楼层走廊文化墙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6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7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1EFFB7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after="0" w:line="260" w:lineRule="exact"/>
        <w:ind w:left="0" w:leftChars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027E43DB-BDB4-4BAF-995C-695DEB7D17A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62723A5-A7FF-4B43-90C2-5BDCA625F2B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7CC5E1-FDB6-4A93-918B-9D0954A32C4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605EFA2-D702-4DA8-8578-69A148CB07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51E09"/>
    <w:rsid w:val="02F63F33"/>
    <w:rsid w:val="038226E8"/>
    <w:rsid w:val="08C802B4"/>
    <w:rsid w:val="09CF1CB6"/>
    <w:rsid w:val="16DC468E"/>
    <w:rsid w:val="17C43826"/>
    <w:rsid w:val="17C65D73"/>
    <w:rsid w:val="1B0B7D15"/>
    <w:rsid w:val="1CA70F21"/>
    <w:rsid w:val="1D5822E5"/>
    <w:rsid w:val="207B77D5"/>
    <w:rsid w:val="216C1EE5"/>
    <w:rsid w:val="23EA2723"/>
    <w:rsid w:val="29505D5D"/>
    <w:rsid w:val="2B143BB9"/>
    <w:rsid w:val="2EF8570A"/>
    <w:rsid w:val="2F7E1F53"/>
    <w:rsid w:val="3AC51729"/>
    <w:rsid w:val="3C251E09"/>
    <w:rsid w:val="455A7B0F"/>
    <w:rsid w:val="46035F1B"/>
    <w:rsid w:val="46AE7775"/>
    <w:rsid w:val="4AFD3FE5"/>
    <w:rsid w:val="4C0B7D32"/>
    <w:rsid w:val="4C2C21EB"/>
    <w:rsid w:val="4CEE0089"/>
    <w:rsid w:val="53944D6E"/>
    <w:rsid w:val="56163A5B"/>
    <w:rsid w:val="59011144"/>
    <w:rsid w:val="5FBD3388"/>
    <w:rsid w:val="603B318E"/>
    <w:rsid w:val="655B6612"/>
    <w:rsid w:val="67720D6F"/>
    <w:rsid w:val="677649FA"/>
    <w:rsid w:val="686314D3"/>
    <w:rsid w:val="69A9566E"/>
    <w:rsid w:val="6FEF1021"/>
    <w:rsid w:val="71103636"/>
    <w:rsid w:val="723B43FD"/>
    <w:rsid w:val="730E1F90"/>
    <w:rsid w:val="7CD7724B"/>
    <w:rsid w:val="7D8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semiHidden/>
    <w:qFormat/>
    <w:uiPriority w:val="0"/>
    <w:pPr>
      <w:widowControl w:val="0"/>
      <w:spacing w:after="120"/>
      <w:ind w:left="420" w:leftChars="200"/>
    </w:pPr>
    <w:rPr>
      <w:sz w:val="16"/>
      <w:szCs w:val="16"/>
    </w:rPr>
  </w:style>
  <w:style w:type="paragraph" w:styleId="4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41"/>
    <w:basedOn w:val="7"/>
    <w:qFormat/>
    <w:uiPriority w:val="0"/>
    <w:rPr>
      <w:rFonts w:hint="eastAsia" w:ascii="微软雅黑" w:hAnsi="微软雅黑" w:eastAsia="微软雅黑" w:cs="微软雅黑"/>
      <w:b/>
      <w:bCs/>
      <w:color w:val="C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2">
    <w:name w:val="font51"/>
    <w:basedOn w:val="7"/>
    <w:qFormat/>
    <w:uiPriority w:val="0"/>
    <w:rPr>
      <w:rFonts w:hint="eastAsia" w:ascii="微软雅黑" w:hAnsi="微软雅黑" w:eastAsia="微软雅黑" w:cs="微软雅黑"/>
      <w:b/>
      <w:bCs/>
      <w:i/>
      <w:iCs/>
      <w:color w:val="C00000"/>
      <w:sz w:val="22"/>
      <w:szCs w:val="22"/>
      <w:u w:val="none"/>
    </w:rPr>
  </w:style>
  <w:style w:type="character" w:customStyle="1" w:styleId="13">
    <w:name w:val="font9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8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7"/>
    <w:qFormat/>
    <w:uiPriority w:val="0"/>
    <w:rPr>
      <w:rFonts w:hint="eastAsia" w:ascii="微软雅黑" w:hAnsi="微软雅黑" w:eastAsia="微软雅黑" w:cs="微软雅黑"/>
      <w:b/>
      <w:bCs/>
      <w:color w:val="C00000"/>
      <w:sz w:val="22"/>
      <w:szCs w:val="22"/>
      <w:u w:val="none"/>
    </w:rPr>
  </w:style>
  <w:style w:type="character" w:customStyle="1" w:styleId="17">
    <w:name w:val="font6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8">
    <w:name w:val="font101"/>
    <w:basedOn w:val="7"/>
    <w:qFormat/>
    <w:uiPriority w:val="0"/>
    <w:rPr>
      <w:rFonts w:hint="eastAsia" w:ascii="微软雅黑" w:hAnsi="微软雅黑" w:eastAsia="微软雅黑" w:cs="微软雅黑"/>
      <w:color w:val="2D529F"/>
      <w:sz w:val="22"/>
      <w:szCs w:val="22"/>
      <w:u w:val="none"/>
    </w:rPr>
  </w:style>
  <w:style w:type="character" w:customStyle="1" w:styleId="19">
    <w:name w:val="font112"/>
    <w:basedOn w:val="7"/>
    <w:qFormat/>
    <w:uiPriority w:val="0"/>
    <w:rPr>
      <w:rFonts w:hint="eastAsia" w:ascii="微软雅黑" w:hAnsi="微软雅黑" w:eastAsia="微软雅黑" w:cs="微软雅黑"/>
      <w:color w:val="C00000"/>
      <w:sz w:val="22"/>
      <w:szCs w:val="22"/>
      <w:u w:val="none"/>
    </w:rPr>
  </w:style>
  <w:style w:type="paragraph" w:customStyle="1" w:styleId="20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1889</Words>
  <Characters>2131</Characters>
  <Lines>0</Lines>
  <Paragraphs>0</Paragraphs>
  <TotalTime>97</TotalTime>
  <ScaleCrop>false</ScaleCrop>
  <LinksUpToDate>false</LinksUpToDate>
  <CharactersWithSpaces>2189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2025-05-06T03:22:00Z</dcterms:created>
  <dc:creator>风信子</dc:creator>
  <cp:lastModifiedBy>素</cp:lastModifiedBy>
  <dcterms:modified xsi:type="dcterms:W3CDTF">2025-05-22T03:39:56Z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1F4B5D70F01440C48082CA6E00A733E6_13</vt:lpwstr>
  </property>
  <property fmtid="{D5CDD505-2E9C-101B-9397-08002B2CF9AE}" pid="4" name="KSOTemplateDocerSaveRecord">
    <vt:lpwstr>eyJoZGlkIjoiMzUyMDllMzU4NjE2OTljNmE2YmQzNzdjMDVmYTRiMmQiLCJ1c2VySWQiOiI0Mjc2NDI2NjUifQ==</vt:lpwstr>
  </property>
</Properties>
</file>