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 xml:space="preserve">合川区人民医院紧急采购直线加速器机房防护门的公告 </w:t>
      </w:r>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w:t>
      </w:r>
      <w:bookmarkStart w:id="32" w:name="_GoBack"/>
      <w:bookmarkEnd w:id="32"/>
      <w:r>
        <w:rPr>
          <w:rFonts w:hint="eastAsia" w:ascii="方正仿宋_GBK" w:hAnsi="宋体" w:eastAsia="方正仿宋_GBK"/>
          <w:sz w:val="28"/>
          <w:szCs w:val="28"/>
        </w:rPr>
        <w:t>庆市合川区人民医院为满足业务发展需求及对患者更有效的救治，经院内审批同意，拟紧急采购直线加速器机房防护门，相关要求如下：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直线加速器机房防护门</w:t>
      </w:r>
    </w:p>
    <w:tbl>
      <w:tblPr>
        <w:tblW w:w="1006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536"/>
        <w:gridCol w:w="2268"/>
        <w:gridCol w:w="850"/>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分包</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设备名称</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rPr>
                <w:rFonts w:ascii="方正仿宋_GBK" w:hAnsi="宋体" w:eastAsia="方正仿宋_GBK"/>
                <w:b/>
                <w:sz w:val="28"/>
                <w:szCs w:val="28"/>
              </w:rPr>
            </w:pPr>
            <w:r>
              <w:rPr>
                <w:rFonts w:hint="eastAsia" w:ascii="方正仿宋_GBK" w:hAnsi="宋体" w:eastAsia="方正仿宋_GBK"/>
                <w:b/>
                <w:sz w:val="28"/>
                <w:szCs w:val="28"/>
              </w:rPr>
              <w:t xml:space="preserve">      限价</w:t>
            </w:r>
          </w:p>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（人民币：万元）</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数量</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568" w:type="dxa"/>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rPr>
                <w:rFonts w:ascii="方正仿宋_GBK" w:hAnsi="宋体" w:eastAsia="方正仿宋_GBK"/>
                <w:sz w:val="28"/>
                <w:szCs w:val="28"/>
              </w:rPr>
            </w:pPr>
            <w:r>
              <w:rPr>
                <w:rFonts w:hint="eastAsia" w:ascii="方正仿宋_GBK" w:hAnsi="宋体" w:eastAsia="方正仿宋_GBK"/>
                <w:sz w:val="28"/>
                <w:szCs w:val="28"/>
              </w:rPr>
              <w:t>直线加速器机房防护门</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13.5</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方正仿宋_GBK" w:hAnsi="宋体" w:eastAsia="方正仿宋_GBK"/>
                <w:sz w:val="28"/>
                <w:szCs w:val="28"/>
              </w:rPr>
            </w:pP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color w:val="auto"/>
          <w:sz w:val="28"/>
          <w:szCs w:val="28"/>
        </w:rPr>
      </w:pPr>
      <w:r>
        <w:rPr>
          <w:rFonts w:ascii="方正仿宋_GBK" w:hAnsi="宋体" w:eastAsia="方正仿宋_GBK"/>
          <w:color w:val="auto"/>
          <w:sz w:val="28"/>
          <w:szCs w:val="28"/>
        </w:rPr>
        <w:t>（二）特定资格条件</w:t>
      </w:r>
    </w:p>
    <w:p>
      <w:pPr>
        <w:adjustRightInd w:val="0"/>
        <w:snapToGrid w:val="0"/>
        <w:spacing w:line="240" w:lineRule="atLeast"/>
        <w:ind w:firstLine="560" w:firstLineChars="200"/>
        <w:rPr>
          <w:rFonts w:hint="eastAsia" w:ascii="方正仿宋_GBK" w:hAnsi="宋体" w:eastAsia="方正仿宋_GBK"/>
          <w:color w:val="auto"/>
          <w:sz w:val="28"/>
          <w:szCs w:val="28"/>
          <w:highlight w:val="yellow"/>
        </w:rPr>
      </w:pPr>
      <w:r>
        <w:rPr>
          <w:rFonts w:hint="eastAsia" w:ascii="方正仿宋_GBK" w:hAnsi="宋体" w:eastAsia="方正仿宋_GBK"/>
          <w:color w:val="auto"/>
          <w:sz w:val="28"/>
          <w:szCs w:val="28"/>
          <w:highlight w:val="yellow"/>
        </w:rPr>
        <w:t>1. 营业执照的经营范围须含医用X射线设备或射线防护设备或射线防护工程或射线防护材料的生产销售及安装等工作内容。</w:t>
      </w:r>
    </w:p>
    <w:p>
      <w:pPr>
        <w:adjustRightInd w:val="0"/>
        <w:snapToGrid w:val="0"/>
        <w:spacing w:line="240" w:lineRule="atLeast"/>
        <w:ind w:firstLine="560" w:firstLineChars="200"/>
        <w:rPr>
          <w:rFonts w:hint="eastAsia" w:ascii="方正仿宋_GBK" w:hAnsi="宋体" w:eastAsia="方正仿宋_GBK"/>
          <w:color w:val="auto"/>
          <w:sz w:val="28"/>
          <w:szCs w:val="28"/>
          <w:highlight w:val="yellow"/>
        </w:rPr>
      </w:pPr>
      <w:r>
        <w:rPr>
          <w:rFonts w:hint="eastAsia" w:ascii="方正仿宋_GBK" w:hAnsi="宋体" w:eastAsia="方正仿宋_GBK"/>
          <w:color w:val="auto"/>
          <w:sz w:val="28"/>
          <w:szCs w:val="28"/>
          <w:highlight w:val="yellow"/>
        </w:rPr>
        <w:t>2.提供“第一类医疗器械生产企业备案凭证”。</w:t>
      </w:r>
    </w:p>
    <w:p>
      <w:pPr>
        <w:adjustRightInd w:val="0"/>
        <w:snapToGrid w:val="0"/>
        <w:spacing w:line="240" w:lineRule="atLeast"/>
        <w:ind w:firstLine="560" w:firstLineChars="200"/>
        <w:rPr>
          <w:rFonts w:ascii="方正仿宋_GBK" w:hAnsi="宋体" w:eastAsia="方正仿宋_GBK"/>
          <w:color w:val="auto"/>
          <w:sz w:val="28"/>
          <w:szCs w:val="28"/>
        </w:rPr>
      </w:pPr>
      <w:r>
        <w:rPr>
          <w:rFonts w:hint="eastAsia" w:ascii="方正仿宋_GBK" w:hAnsi="宋体" w:eastAsia="方正仿宋_GBK"/>
          <w:color w:val="auto"/>
          <w:sz w:val="28"/>
          <w:szCs w:val="28"/>
          <w:highlight w:val="yellow"/>
        </w:rPr>
        <w:t>3.提供防护门的主要材料《铅板》或《铅钢复合板》的检测报告.</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三、报价要求</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1、谈判地点：重庆市合川区人民医院行政楼一楼招标办（重庆市合川区南津街希尔安大道1366号）</w:t>
      </w:r>
    </w:p>
    <w:p>
      <w:pPr>
        <w:adjustRightInd w:val="0"/>
        <w:snapToGrid w:val="0"/>
        <w:spacing w:line="240" w:lineRule="atLeast"/>
        <w:rPr>
          <w:rFonts w:ascii="方正仿宋_GBK" w:hAnsi="宋体" w:eastAsia="方正仿宋_GBK"/>
          <w:sz w:val="28"/>
          <w:szCs w:val="28"/>
        </w:rPr>
      </w:pPr>
      <w:r>
        <w:rPr>
          <w:rFonts w:hint="eastAsia" w:ascii="方正仿宋_GBK" w:hAnsi="宋体" w:eastAsia="方正仿宋_GBK"/>
          <w:sz w:val="28"/>
          <w:szCs w:val="28"/>
        </w:rPr>
        <w:t xml:space="preserve">    2、谈判报名时间：2022年9月23日北京时间9:00-9：30</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3、谈判开始时间：2022年9月23日北京时间9：30。</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经评审符合要求的最低报价供应商中标（有二次报价）。</w:t>
      </w:r>
    </w:p>
    <w:p>
      <w:pPr>
        <w:numPr>
          <w:ilvl w:val="0"/>
          <w:numId w:val="1"/>
        </w:num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color w:val="FF0000"/>
          <w:sz w:val="28"/>
          <w:szCs w:val="28"/>
        </w:rPr>
        <w:t>投标保证金：</w:t>
      </w:r>
      <w:r>
        <w:rPr>
          <w:rFonts w:hint="eastAsia" w:ascii="方正仿宋_GBK" w:hAnsi="宋体" w:eastAsia="方正仿宋_GBK"/>
          <w:sz w:val="28"/>
          <w:szCs w:val="28"/>
        </w:rPr>
        <w:t>2600元</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 xml:space="preserve">   （1）交纳：投标保证金提交响应文件时交纳，可使用现金或政策允许的其他支付方式，请将投标保证金用信封装好密封，在信封封面注明投标项目及公司名称，并在封口处加盖公司公章。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（2）退还：谈判结束后未中标者当场给予退还，中标供应商按时交纳履约保证金后办理退还。</w:t>
      </w:r>
    </w:p>
    <w:p>
      <w:pPr>
        <w:adjustRightInd w:val="0"/>
        <w:snapToGrid w:val="0"/>
        <w:spacing w:line="240" w:lineRule="atLeast"/>
        <w:rPr>
          <w:rFonts w:ascii="方正仿宋_GBK" w:hAnsi="宋体" w:eastAsia="方正仿宋_GBK"/>
          <w:color w:val="FF0000"/>
          <w:sz w:val="28"/>
          <w:szCs w:val="28"/>
        </w:rPr>
      </w:pP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color w:val="FF0000"/>
          <w:sz w:val="28"/>
          <w:szCs w:val="28"/>
        </w:rPr>
        <w:t xml:space="preserve"> 四、项目参数</w:t>
      </w:r>
      <w:r>
        <w:rPr>
          <w:rFonts w:hint="eastAsia" w:ascii="方正黑体_GBK" w:hAnsi="宋体" w:eastAsia="方正黑体_GBK"/>
          <w:sz w:val="28"/>
          <w:szCs w:val="28"/>
        </w:rPr>
        <w:t>（供应商必须提供产品彩页或厂家盖章的技术参数证明文件）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1、质量技术标准：《放射治疗放射防护要求》即（GBZ121-2020）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2、医院二期（放射诊疗）环境影响报告表对铅门的要求：铅当量≥19mmPb，含硼5%聚氯乙烯防护层为≥89mm。</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3、加速器电动控制达到的要求：防止停电时意外事故的发生，增设手摇机构；为了防止门开关时意外事故的发生，增设红外防撞装置；门机连锁装置；配有安全警示牌、三色警示灯等。</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4、加速器机房防护门规格：2500×2600/1樘（门洞净空：2100×2300）。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5、防护门电源线路由中标单位负责，院方只提供380V电源至指定配电箱。</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6、防护门安全装饰墙：按院方要求装饰，外型美观大方，便于检修防护门。</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注：以上技术参数要求全部满足。</w:t>
      </w:r>
    </w:p>
    <w:p>
      <w:pPr>
        <w:widowControl/>
        <w:adjustRightInd w:val="0"/>
        <w:snapToGrid w:val="0"/>
        <w:spacing w:line="240" w:lineRule="atLeast"/>
        <w:rPr>
          <w:rFonts w:ascii="方正仿宋_GBK" w:hAnsi="宋体" w:eastAsia="方正仿宋_GBK"/>
          <w:b/>
          <w:sz w:val="28"/>
          <w:szCs w:val="28"/>
          <w:u w:val="single"/>
        </w:rPr>
      </w:pP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color w:val="FF0000"/>
          <w:sz w:val="24"/>
          <w:u w:val="single"/>
        </w:rPr>
      </w:pPr>
      <w:r>
        <w:rPr>
          <w:rFonts w:hint="eastAsia" w:ascii="方正仿宋_GBK" w:hAnsi="宋体" w:eastAsia="方正仿宋_GBK"/>
          <w:sz w:val="24"/>
          <w:u w:val="single"/>
          <w:lang w:val="zh-CN"/>
        </w:rPr>
        <w:t>采购合同签订后</w:t>
      </w:r>
      <w:r>
        <w:rPr>
          <w:rFonts w:hint="eastAsia" w:ascii="方正仿宋_GBK" w:hAnsi="宋体" w:eastAsia="方正仿宋_GBK"/>
          <w:color w:val="FF0000"/>
          <w:sz w:val="24"/>
          <w:highlight w:val="yellow"/>
          <w:u w:val="single"/>
          <w:lang w:val="zh-CN"/>
        </w:rPr>
        <w:t>具备安装条件后，于15日完成安装工作。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2"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1、供应商应明确承诺：产品质量保证期：自验收合格之日起，整机质保（含零配件）</w:t>
      </w:r>
      <w:r>
        <w:rPr>
          <w:rFonts w:hint="eastAsia" w:ascii="方正仿宋_GBK" w:hAnsi="宋体" w:eastAsia="方正仿宋_GBK"/>
          <w:color w:val="FF0000"/>
          <w:sz w:val="24"/>
        </w:rPr>
        <w:t>三年</w:t>
      </w:r>
      <w:r>
        <w:rPr>
          <w:rFonts w:hint="eastAsia" w:ascii="方正仿宋_GBK" w:hAnsi="宋体" w:eastAsia="方正仿宋_GBK"/>
          <w:sz w:val="24"/>
        </w:rPr>
        <w:t>。供应商需保证所提供的货物是全新的、未使用过的，是完全符合合同规定的质量、规格和性能要求的。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400" w:lineRule="exact"/>
        <w:ind w:firstLine="480" w:firstLineChars="200"/>
        <w:rPr>
          <w:rFonts w:ascii="方正仿宋_GBK" w:eastAsia="方正仿宋_GBK"/>
          <w:color w:val="000000"/>
          <w:sz w:val="24"/>
        </w:rPr>
      </w:pPr>
      <w:r>
        <w:rPr>
          <w:rFonts w:hint="eastAsia" w:ascii="方正仿宋_GBK" w:hAnsi="方正仿宋_GBK" w:eastAsia="方正仿宋_GBK" w:cs="方正仿宋_GBK"/>
          <w:bCs/>
          <w:color w:val="000000"/>
          <w:kern w:val="0"/>
          <w:sz w:val="24"/>
        </w:rPr>
        <w:t>采购人遇到使用及技术问题，电话咨询不能解决的，成交供应商和制造商应在4小时内到达现场(远郊区6小时内到达现场)进行处理，确保产品正常工作；无法在12小时内解决的，应在24小时内提供备用产品，使采购人能够正常使用。</w:t>
      </w:r>
      <w:r>
        <w:rPr>
          <w:rFonts w:hint="eastAsia" w:ascii="方正仿宋_GBK" w:eastAsia="方正仿宋_GBK"/>
          <w:color w:val="000000"/>
          <w:sz w:val="24"/>
        </w:rPr>
        <w:t>若成交供应商在接到通知后没有响应或派员前来处理问题，则视为成交供应商承认货物存在质量问题，由此发生的一切费用由成交供应商承担。质保期内免费维修、免费维保。</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bookmarkEnd w:id="3"/>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（四）履约保证金</w:t>
      </w:r>
    </w:p>
    <w:p>
      <w:pPr>
        <w:adjustRightInd w:val="0"/>
        <w:snapToGrid w:val="0"/>
        <w:spacing w:line="240" w:lineRule="atLeast"/>
        <w:ind w:firstLine="480" w:firstLineChars="200"/>
        <w:rPr>
          <w:rFonts w:ascii="方正仿宋_GBK" w:hAnsi="宋体" w:eastAsia="方正仿宋_GBK"/>
          <w:color w:val="FF0000"/>
          <w:sz w:val="24"/>
        </w:rPr>
      </w:pPr>
      <w:r>
        <w:rPr>
          <w:rFonts w:hint="eastAsia" w:ascii="方正仿宋_GBK" w:hAnsi="宋体" w:eastAsia="方正仿宋_GBK"/>
          <w:sz w:val="24"/>
        </w:rPr>
        <w:t xml:space="preserve"> </w:t>
      </w:r>
      <w:r>
        <w:rPr>
          <w:rFonts w:hint="eastAsia" w:ascii="方正仿宋_GBK" w:hAnsi="宋体" w:eastAsia="方正仿宋_GBK"/>
          <w:color w:val="FF0000"/>
          <w:sz w:val="24"/>
        </w:rPr>
        <w:t>签订合同前，中标单位需缴纳中标金额5%的履约保证金，设备安装验收合格后履约保证金转为质保金，质保期满后无违约情况一次性无息退还。</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（五）付款方式</w:t>
      </w:r>
      <w:bookmarkStart w:id="5" w:name="_Toc511909619"/>
      <w:bookmarkStart w:id="6" w:name="_Toc34447512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ascii="方正仿宋_GBK" w:hAnsi="宋体" w:eastAsia="方正仿宋_GBK"/>
          <w:b w:val="0"/>
          <w:sz w:val="24"/>
          <w:szCs w:val="24"/>
        </w:rPr>
      </w:pPr>
      <w:r>
        <w:rPr>
          <w:rFonts w:hint="eastAsia" w:ascii="方正仿宋_GBK" w:hAnsi="宋体" w:eastAsia="方正仿宋_GBK"/>
          <w:b w:val="0"/>
          <w:sz w:val="24"/>
          <w:szCs w:val="24"/>
        </w:rPr>
        <w:t>设备付款方式：安装验收合格后付合同金额100％。</w:t>
      </w:r>
    </w:p>
    <w:p>
      <w:pPr>
        <w:rPr>
          <w:rFonts w:eastAsia="方正仿宋_GBK"/>
        </w:rPr>
      </w:pPr>
      <w:r>
        <w:rPr>
          <w:rFonts w:hint="eastAsia"/>
        </w:rPr>
        <w:t xml:space="preserve">  </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（六）知识产权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numPr>
          <w:ilvl w:val="0"/>
          <w:numId w:val="2"/>
        </w:numPr>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其他</w:t>
      </w:r>
      <w:bookmarkEnd w:id="7"/>
    </w:p>
    <w:p>
      <w:pPr>
        <w:rPr>
          <w:color w:val="auto"/>
        </w:rPr>
      </w:pPr>
      <w:r>
        <w:rPr>
          <w:rFonts w:hint="eastAsia"/>
        </w:rPr>
        <w:t xml:space="preserve">     </w:t>
      </w:r>
      <w:r>
        <w:rPr>
          <w:rFonts w:hint="eastAsia" w:ascii="方正仿宋_GBK" w:hAnsi="宋体" w:eastAsia="方正仿宋_GBK"/>
          <w:color w:val="auto"/>
          <w:sz w:val="24"/>
        </w:rPr>
        <w:t>（一）中标供应商在中标通知书下达后</w:t>
      </w:r>
      <w:r>
        <w:rPr>
          <w:rFonts w:hint="eastAsia" w:ascii="方正仿宋_GBK" w:hAnsi="宋体" w:eastAsia="方正仿宋_GBK"/>
          <w:color w:val="auto"/>
          <w:sz w:val="24"/>
          <w:lang w:val="en-US" w:eastAsia="zh-CN"/>
        </w:rPr>
        <w:t>2个日历日</w:t>
      </w:r>
      <w:r>
        <w:rPr>
          <w:rFonts w:hint="eastAsia" w:ascii="方正仿宋_GBK" w:hAnsi="宋体" w:eastAsia="方正仿宋_GBK"/>
          <w:color w:val="auto"/>
          <w:sz w:val="24"/>
        </w:rPr>
        <w:t>内必须来院签订合同。</w:t>
      </w:r>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（二）供应商必须在响应文件中对以上条款和服务承诺明确列出，承诺内容必须达到本篇及谈判其他条款的要求。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（三）其他未尽事宜由供需双方在采购合同中详细约定。</w:t>
      </w:r>
    </w:p>
    <w:p>
      <w:pPr>
        <w:widowControl/>
        <w:jc w:val="left"/>
      </w:pP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2"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2.我方现提交的响应文件为：纸质文档两份，正本一份，副本一份。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9"/>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6"/>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方正仿宋_GBK">
    <w:altName w:val="Arial Unicode MS"/>
    <w:panose1 w:val="03000509000000000000"/>
    <w:charset w:val="86"/>
    <w:family w:val="auto"/>
    <w:pitch w:val="default"/>
    <w:sig w:usb0="00000001" w:usb1="080E0000" w:usb2="00000010" w:usb3="00000000" w:csb0="00040000" w:csb1="00000000"/>
  </w:font>
  <w:font w:name="方正黑体_GBK">
    <w:altName w:val="黑体"/>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3666199">
    <w:nsid w:val="63298817"/>
    <w:multiLevelType w:val="singleLevel"/>
    <w:tmpl w:val="63298817"/>
    <w:lvl w:ilvl="0" w:tentative="1">
      <w:start w:val="7"/>
      <w:numFmt w:val="chineseCounting"/>
      <w:suff w:val="nothing"/>
      <w:lvlText w:val="（%1）"/>
      <w:lvlJc w:val="left"/>
    </w:lvl>
  </w:abstractNum>
  <w:abstractNum w:abstractNumId="1663666634">
    <w:nsid w:val="632989CA"/>
    <w:multiLevelType w:val="singleLevel"/>
    <w:tmpl w:val="632989CA"/>
    <w:lvl w:ilvl="0" w:tentative="1">
      <w:start w:val="4"/>
      <w:numFmt w:val="decimal"/>
      <w:suff w:val="nothing"/>
      <w:lvlText w:val="%1、"/>
      <w:lvlJc w:val="left"/>
    </w:lvl>
  </w:abstractNum>
  <w:num w:numId="1">
    <w:abstractNumId w:val="1663666634"/>
  </w:num>
  <w:num w:numId="2">
    <w:abstractNumId w:val="16636661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16"/>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4">
    <w:name w:val="Body Text First Indent"/>
    <w:basedOn w:val="5"/>
    <w:semiHidden/>
    <w:unhideWhenUsed/>
    <w:uiPriority w:val="0"/>
    <w:pPr>
      <w:spacing w:line="360" w:lineRule="auto"/>
      <w:ind w:firstLine="420"/>
    </w:pPr>
    <w:rPr>
      <w:rFonts w:ascii="宋体" w:hAnsi="宋体"/>
      <w:sz w:val="24"/>
    </w:rPr>
  </w:style>
  <w:style w:type="paragraph" w:styleId="5">
    <w:name w:val="Body Text"/>
    <w:basedOn w:val="1"/>
    <w:semiHidden/>
    <w:unhideWhenUsed/>
    <w:uiPriority w:val="0"/>
    <w:pPr>
      <w:spacing w:after="120"/>
    </w:pPr>
  </w:style>
  <w:style w:type="paragraph" w:styleId="6">
    <w:name w:val="Date"/>
    <w:basedOn w:val="1"/>
    <w:next w:val="1"/>
    <w:link w:val="18"/>
    <w:qFormat/>
    <w:uiPriority w:val="0"/>
    <w:rPr>
      <w:rFonts w:ascii="Calibri" w:hAnsi="Calibri"/>
      <w:sz w:val="28"/>
      <w:szCs w:val="22"/>
    </w:rPr>
  </w:style>
  <w:style w:type="paragraph" w:styleId="7">
    <w:name w:val="footer"/>
    <w:basedOn w:val="1"/>
    <w:link w:val="14"/>
    <w:semiHidden/>
    <w:unhideWhenUsed/>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character" w:styleId="11">
    <w:name w:val="page number"/>
    <w:basedOn w:val="10"/>
    <w:semiHidden/>
    <w:unhideWhenUsed/>
    <w:uiPriority w:val="0"/>
    <w:rPr/>
  </w:style>
  <w:style w:type="paragraph" w:customStyle="1" w:styleId="12">
    <w:name w:val="索引 51"/>
    <w:basedOn w:val="1"/>
    <w:next w:val="1"/>
    <w:qFormat/>
    <w:uiPriority w:val="0"/>
    <w:pPr>
      <w:ind w:left="1680"/>
    </w:pPr>
  </w:style>
  <w:style w:type="character" w:customStyle="1" w:styleId="13">
    <w:name w:val="页眉 Char"/>
    <w:basedOn w:val="10"/>
    <w:link w:val="8"/>
    <w:qFormat/>
    <w:uiPriority w:val="0"/>
    <w:rPr>
      <w:sz w:val="18"/>
      <w:szCs w:val="18"/>
    </w:rPr>
  </w:style>
  <w:style w:type="character" w:customStyle="1" w:styleId="14">
    <w:name w:val="页脚 Char"/>
    <w:basedOn w:val="10"/>
    <w:link w:val="7"/>
    <w:semiHidden/>
    <w:uiPriority w:val="99"/>
    <w:rPr>
      <w:sz w:val="18"/>
      <w:szCs w:val="18"/>
    </w:rPr>
  </w:style>
  <w:style w:type="character" w:customStyle="1" w:styleId="15">
    <w:name w:val="标题 2 Char"/>
    <w:basedOn w:val="10"/>
    <w:link w:val="2"/>
    <w:semiHidden/>
    <w:qFormat/>
    <w:uiPriority w:val="9"/>
    <w:rPr>
      <w:rFonts w:ascii="Cambria" w:hAnsi="Cambria" w:eastAsia="宋体"/>
      <w:b/>
      <w:bCs/>
      <w:sz w:val="32"/>
      <w:szCs w:val="32"/>
    </w:rPr>
  </w:style>
  <w:style w:type="character" w:customStyle="1" w:styleId="16">
    <w:name w:val="标题 3 Char"/>
    <w:basedOn w:val="10"/>
    <w:link w:val="3"/>
    <w:qFormat/>
    <w:uiPriority w:val="0"/>
    <w:rPr>
      <w:rFonts w:ascii="Times New Roman" w:hAnsi="Times New Roman" w:eastAsia="宋体" w:cs="Times New Roman"/>
      <w:b/>
      <w:sz w:val="32"/>
      <w:szCs w:val="20"/>
    </w:rPr>
  </w:style>
  <w:style w:type="character" w:customStyle="1" w:styleId="17">
    <w:name w:val="日期 Char"/>
    <w:basedOn w:val="10"/>
    <w:link w:val="6"/>
    <w:semiHidden/>
    <w:uiPriority w:val="99"/>
    <w:rPr>
      <w:rFonts w:ascii="Times New Roman" w:hAnsi="Times New Roman" w:eastAsia="宋体" w:cs="Times New Roman"/>
      <w:szCs w:val="24"/>
    </w:rPr>
  </w:style>
  <w:style w:type="character" w:customStyle="1" w:styleId="18">
    <w:name w:val="日期 Char1"/>
    <w:basedOn w:val="10"/>
    <w:link w:val="6"/>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941</Words>
  <Characters>5370</Characters>
  <Lines>44</Lines>
  <Paragraphs>12</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2022-09-20T09:48:00Z</dcterms:created>
  <dc:creator>zbb</dc:creator>
  <cp:lastModifiedBy>zbb</cp:lastModifiedBy>
  <dcterms:modified xsi:type="dcterms:W3CDTF">2022-09-20T10:23:02Z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