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outlineLvl w:val="0"/>
        <w:rPr>
          <w:rFonts w:ascii="方正黑体_GBK" w:hAnsi="宋体" w:eastAsia="方正黑体_GBK"/>
          <w:spacing w:val="68"/>
          <w:sz w:val="112"/>
          <w:szCs w:val="112"/>
        </w:rPr>
      </w:pPr>
    </w:p>
    <w:p>
      <w:pPr>
        <w:outlineLvl w:val="0"/>
        <w:rPr>
          <w:rFonts w:ascii="方正黑体_GBK" w:hAnsi="宋体" w:eastAsia="方正黑体_GBK"/>
          <w:spacing w:val="68"/>
          <w:sz w:val="112"/>
          <w:szCs w:val="112"/>
        </w:rPr>
      </w:pPr>
      <w:r>
        <w:rPr>
          <w:rFonts w:hint="eastAsia" w:ascii="方正黑体_GBK" w:hAnsi="宋体" w:eastAsia="方正黑体_GBK"/>
          <w:spacing w:val="68"/>
          <w:sz w:val="112"/>
          <w:szCs w:val="112"/>
        </w:rPr>
        <w:t>竞争性谈判文件</w:t>
      </w: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ind w:firstLine="1620" w:firstLineChars="450"/>
        <w:jc w:val="left"/>
        <w:rPr>
          <w:rFonts w:ascii="方正小标宋_GBK" w:hAnsi="宋体" w:eastAsia="方正小标宋_GBK"/>
          <w:sz w:val="36"/>
          <w:szCs w:val="30"/>
        </w:rPr>
      </w:pPr>
      <w:r>
        <w:rPr>
          <w:rFonts w:hint="eastAsia" w:ascii="方正小标宋_GBK" w:hAnsi="宋体" w:eastAsia="方正小标宋_GBK"/>
          <w:sz w:val="36"/>
          <w:szCs w:val="30"/>
        </w:rPr>
        <w:t>项 目 名 称：体检报告封面</w:t>
      </w:r>
    </w:p>
    <w:p>
      <w:pPr>
        <w:spacing w:line="700" w:lineRule="exact"/>
        <w:ind w:firstLine="1620" w:firstLineChars="450"/>
        <w:jc w:val="left"/>
        <w:rPr>
          <w:rFonts w:ascii="宋体" w:hAnsi="宋体"/>
          <w:b/>
          <w:sz w:val="32"/>
          <w:szCs w:val="32"/>
        </w:rPr>
      </w:pPr>
      <w:r>
        <w:rPr>
          <w:rFonts w:hint="eastAsia" w:ascii="方正小标宋_GBK" w:hAnsi="宋体" w:eastAsia="方正小标宋_GBK"/>
          <w:sz w:val="36"/>
          <w:szCs w:val="30"/>
        </w:rPr>
        <w:t>项 目 编 号：202</w:t>
      </w:r>
      <w:r>
        <w:rPr>
          <w:rFonts w:hint="eastAsia" w:ascii="方正小标宋_GBK" w:hAnsi="宋体" w:eastAsia="方正小标宋_GBK"/>
          <w:sz w:val="36"/>
          <w:szCs w:val="30"/>
          <w:lang w:val="en-US" w:eastAsia="zh-CN"/>
        </w:rPr>
        <w:t>2</w:t>
      </w:r>
      <w:r>
        <w:rPr>
          <w:rFonts w:hint="eastAsia" w:ascii="方正小标宋_GBK" w:hAnsi="宋体" w:eastAsia="方正小标宋_GBK"/>
          <w:sz w:val="36"/>
          <w:szCs w:val="30"/>
        </w:rPr>
        <w:t>00</w:t>
      </w:r>
      <w:r>
        <w:rPr>
          <w:rFonts w:hint="eastAsia" w:ascii="方正小标宋_GBK" w:hAnsi="宋体" w:eastAsia="方正小标宋_GBK"/>
          <w:sz w:val="36"/>
          <w:szCs w:val="30"/>
          <w:lang w:val="en-US" w:eastAsia="zh-CN"/>
        </w:rPr>
        <w:t>8</w:t>
      </w:r>
    </w:p>
    <w:p>
      <w:pPr>
        <w:spacing w:line="720" w:lineRule="exact"/>
        <w:jc w:val="center"/>
        <w:outlineLvl w:val="0"/>
        <w:rPr>
          <w:rFonts w:ascii="方正黑体_GBK" w:hAnsi="宋体" w:eastAsia="方正黑体_GBK"/>
          <w:sz w:val="48"/>
          <w:szCs w:val="32"/>
        </w:rPr>
      </w:pPr>
    </w:p>
    <w:p>
      <w:pPr>
        <w:spacing w:line="720" w:lineRule="exact"/>
        <w:jc w:val="center"/>
        <w:outlineLvl w:val="0"/>
        <w:rPr>
          <w:rFonts w:ascii="方正黑体_GBK" w:hAnsi="宋体" w:eastAsia="方正黑体_GBK"/>
          <w:sz w:val="48"/>
          <w:szCs w:val="32"/>
        </w:rPr>
      </w:pPr>
    </w:p>
    <w:p>
      <w:pPr>
        <w:spacing w:line="720" w:lineRule="exact"/>
        <w:jc w:val="center"/>
        <w:outlineLvl w:val="0"/>
        <w:rPr>
          <w:rFonts w:ascii="方正黑体_GBK" w:hAnsi="宋体" w:eastAsia="方正黑体_GBK"/>
          <w:sz w:val="48"/>
          <w:szCs w:val="32"/>
        </w:rPr>
      </w:pPr>
    </w:p>
    <w:p>
      <w:pPr>
        <w:spacing w:line="480" w:lineRule="exact"/>
        <w:jc w:val="center"/>
        <w:outlineLvl w:val="0"/>
        <w:rPr>
          <w:rFonts w:ascii="方正黑体_GBK" w:eastAsia="方正黑体_GBK"/>
          <w:sz w:val="44"/>
          <w:szCs w:val="28"/>
        </w:rPr>
      </w:pPr>
    </w:p>
    <w:p>
      <w:pPr>
        <w:spacing w:line="480" w:lineRule="exact"/>
        <w:jc w:val="center"/>
        <w:outlineLvl w:val="0"/>
        <w:rPr>
          <w:rFonts w:ascii="方正黑体_GBK" w:eastAsia="方正黑体_GBK"/>
          <w:sz w:val="44"/>
          <w:szCs w:val="28"/>
        </w:rPr>
      </w:pPr>
    </w:p>
    <w:p>
      <w:pPr>
        <w:spacing w:line="480" w:lineRule="exact"/>
        <w:jc w:val="center"/>
        <w:outlineLvl w:val="0"/>
        <w:rPr>
          <w:rFonts w:ascii="方正黑体_GBK" w:eastAsia="方正黑体_GBK"/>
          <w:sz w:val="44"/>
          <w:szCs w:val="28"/>
        </w:rPr>
      </w:pPr>
    </w:p>
    <w:p>
      <w:pPr>
        <w:spacing w:line="480" w:lineRule="exact"/>
        <w:jc w:val="center"/>
        <w:outlineLvl w:val="0"/>
        <w:rPr>
          <w:rFonts w:ascii="方正黑体_GBK" w:eastAsia="方正黑体_GBK"/>
          <w:sz w:val="44"/>
          <w:szCs w:val="28"/>
        </w:rPr>
      </w:pPr>
    </w:p>
    <w:p>
      <w:pPr>
        <w:spacing w:line="480" w:lineRule="exact"/>
        <w:jc w:val="center"/>
        <w:outlineLvl w:val="0"/>
        <w:rPr>
          <w:rFonts w:ascii="方正黑体_GBK" w:eastAsia="方正黑体_GBK"/>
          <w:sz w:val="44"/>
          <w:szCs w:val="28"/>
        </w:rPr>
      </w:pPr>
    </w:p>
    <w:p>
      <w:pPr>
        <w:spacing w:line="480" w:lineRule="exact"/>
        <w:jc w:val="center"/>
        <w:outlineLvl w:val="0"/>
        <w:rPr>
          <w:rFonts w:ascii="方正黑体_GBK" w:eastAsia="方正黑体_GBK"/>
          <w:sz w:val="44"/>
          <w:szCs w:val="28"/>
        </w:rPr>
      </w:pPr>
      <w:r>
        <w:rPr>
          <w:rFonts w:hint="eastAsia" w:ascii="方正黑体_GBK" w:eastAsia="方正黑体_GBK"/>
          <w:sz w:val="44"/>
          <w:szCs w:val="28"/>
        </w:rPr>
        <w:t>重庆市合川区人民医院</w:t>
      </w:r>
    </w:p>
    <w:p>
      <w:pPr>
        <w:spacing w:line="480" w:lineRule="exact"/>
        <w:jc w:val="center"/>
        <w:outlineLvl w:val="0"/>
        <w:rPr>
          <w:rFonts w:ascii="方正黑体_GBK" w:eastAsia="方正黑体_GBK"/>
          <w:sz w:val="44"/>
          <w:szCs w:val="28"/>
        </w:rPr>
      </w:pPr>
      <w:r>
        <w:rPr>
          <w:rFonts w:hint="eastAsia" w:ascii="方正黑体_GBK" w:hAnsi="宋体" w:eastAsia="方正黑体_GBK"/>
          <w:sz w:val="48"/>
          <w:szCs w:val="32"/>
        </w:rPr>
        <w:t>二〇二</w:t>
      </w:r>
      <w:r>
        <w:rPr>
          <w:rFonts w:hint="eastAsia" w:ascii="方正黑体_GBK" w:hAnsi="宋体" w:eastAsia="方正黑体_GBK"/>
          <w:sz w:val="48"/>
          <w:szCs w:val="32"/>
          <w:lang w:val="en-US" w:eastAsia="zh-CN"/>
        </w:rPr>
        <w:t>二</w:t>
      </w:r>
      <w:r>
        <w:rPr>
          <w:rFonts w:hint="eastAsia" w:ascii="方正黑体_GBK" w:hAnsi="宋体" w:eastAsia="方正黑体_GBK"/>
          <w:sz w:val="48"/>
          <w:szCs w:val="32"/>
        </w:rPr>
        <w:t>年</w:t>
      </w:r>
      <w:r>
        <w:rPr>
          <w:rFonts w:hint="eastAsia" w:ascii="方正黑体_GBK" w:hAnsi="宋体" w:eastAsia="方正黑体_GBK"/>
          <w:sz w:val="48"/>
          <w:szCs w:val="32"/>
          <w:lang w:val="en-US" w:eastAsia="zh-CN"/>
        </w:rPr>
        <w:t>三</w:t>
      </w:r>
      <w:r>
        <w:rPr>
          <w:rFonts w:hint="eastAsia" w:ascii="方正黑体_GBK" w:hAnsi="宋体" w:eastAsia="方正黑体_GBK"/>
          <w:sz w:val="48"/>
          <w:szCs w:val="32"/>
        </w:rPr>
        <w:t>月</w:t>
      </w:r>
    </w:p>
    <w:p/>
    <w:p/>
    <w:p/>
    <w:p>
      <w:pPr>
        <w:spacing w:line="480" w:lineRule="exact"/>
        <w:jc w:val="center"/>
        <w:outlineLvl w:val="0"/>
        <w:rPr>
          <w:rFonts w:hint="eastAsia" w:ascii="方正黑体_GBK" w:eastAsia="方正黑体_GBK"/>
          <w:sz w:val="44"/>
          <w:szCs w:val="28"/>
        </w:rPr>
      </w:pPr>
    </w:p>
    <w:p>
      <w:pPr>
        <w:pStyle w:val="2"/>
        <w:spacing w:line="360" w:lineRule="auto"/>
        <w:jc w:val="center"/>
        <w:rPr>
          <w:rFonts w:ascii="方正小标宋_GBK" w:hAnsi="宋体" w:eastAsia="方正小标宋_GBK"/>
          <w:b w:val="0"/>
          <w:szCs w:val="30"/>
        </w:rPr>
      </w:pPr>
      <w:bookmarkStart w:id="0" w:name="_Toc12789052"/>
      <w:bookmarkStart w:id="1" w:name="_Toc480201018"/>
      <w:bookmarkStart w:id="2" w:name="_Toc11641050"/>
      <w:r>
        <w:rPr>
          <w:rFonts w:hint="eastAsia" w:ascii="方正小标宋_GBK" w:hAnsi="宋体" w:eastAsia="方正小标宋_GBK"/>
          <w:b w:val="0"/>
          <w:sz w:val="36"/>
          <w:szCs w:val="30"/>
        </w:rPr>
        <w:t>第一篇  采购邀请书</w:t>
      </w:r>
      <w:bookmarkEnd w:id="0"/>
      <w:bookmarkEnd w:id="1"/>
      <w:bookmarkEnd w:id="2"/>
    </w:p>
    <w:p>
      <w:pPr>
        <w:snapToGrid w:val="0"/>
        <w:spacing w:line="400" w:lineRule="exact"/>
        <w:ind w:firstLine="560" w:firstLineChars="200"/>
        <w:rPr>
          <w:rFonts w:ascii="方正仿宋_GBK" w:hAnsi="方正仿宋_GBK" w:eastAsia="方正仿宋_GBK" w:cs="方正仿宋_GBK"/>
          <w:szCs w:val="28"/>
          <w:u w:val="single"/>
        </w:rPr>
      </w:pPr>
      <w:r>
        <w:rPr>
          <w:rFonts w:hint="eastAsia" w:ascii="方正仿宋_GBK" w:hAnsi="方正仿宋_GBK" w:eastAsia="方正仿宋_GBK" w:cs="方正仿宋_GBK"/>
          <w:szCs w:val="28"/>
          <w:u w:val="single"/>
        </w:rPr>
        <w:t>重庆市合川区人民医院拟对</w:t>
      </w:r>
      <w:r>
        <w:rPr>
          <w:rFonts w:hint="eastAsia" w:ascii="方正仿宋_GBK" w:hAnsi="方正仿宋_GBK" w:eastAsia="方正仿宋_GBK" w:cs="方正仿宋_GBK"/>
          <w:szCs w:val="28"/>
          <w:u w:val="single"/>
          <w:lang w:val="en-US" w:eastAsia="zh-CN"/>
        </w:rPr>
        <w:t>体检报告封面</w:t>
      </w:r>
      <w:r>
        <w:rPr>
          <w:rFonts w:hint="eastAsia" w:ascii="方正仿宋_GBK" w:hAnsi="方正仿宋_GBK" w:eastAsia="方正仿宋_GBK" w:cs="方正仿宋_GBK"/>
          <w:szCs w:val="28"/>
          <w:u w:val="single"/>
        </w:rPr>
        <w:t>项目进行竞争性谈判采购。欢迎有资格的供应商前来参与谈判。</w:t>
      </w:r>
    </w:p>
    <w:p>
      <w:pPr>
        <w:pStyle w:val="3"/>
        <w:spacing w:line="400" w:lineRule="exact"/>
        <w:rPr>
          <w:rFonts w:ascii="方正仿宋_GBK" w:hAnsi="方正仿宋_GBK" w:eastAsia="方正仿宋_GBK" w:cs="方正仿宋_GBK"/>
          <w:sz w:val="28"/>
          <w:szCs w:val="28"/>
        </w:rPr>
      </w:pPr>
      <w:bookmarkStart w:id="3" w:name="_Toc480201019"/>
      <w:bookmarkStart w:id="4" w:name="_Toc317775175"/>
      <w:bookmarkStart w:id="5" w:name="_Toc313893526"/>
      <w:r>
        <w:rPr>
          <w:rFonts w:hint="eastAsia" w:ascii="方正仿宋_GBK" w:hAnsi="方正仿宋_GBK" w:eastAsia="方正仿宋_GBK" w:cs="方正仿宋_GBK"/>
          <w:sz w:val="28"/>
          <w:szCs w:val="28"/>
        </w:rPr>
        <w:t>一、竞争性谈判内容</w:t>
      </w:r>
      <w:bookmarkEnd w:id="3"/>
      <w:bookmarkEnd w:id="4"/>
      <w:bookmarkEnd w:id="5"/>
    </w:p>
    <w:tbl>
      <w:tblPr>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273"/>
        <w:gridCol w:w="1963"/>
        <w:gridCol w:w="1841"/>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076" w:type="dxa"/>
            <w:tcBorders>
              <w:top w:val="single" w:color="auto" w:sz="4" w:space="0"/>
              <w:left w:val="single" w:color="auto" w:sz="4" w:space="0"/>
              <w:right w:val="single" w:color="auto" w:sz="4" w:space="0"/>
            </w:tcBorders>
            <w:vAlign w:val="center"/>
          </w:tcPr>
          <w:p>
            <w:pPr>
              <w:widowControl/>
              <w:jc w:val="center"/>
              <w:rPr>
                <w:rFonts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分包号</w:t>
            </w:r>
          </w:p>
        </w:tc>
        <w:tc>
          <w:tcPr>
            <w:tcW w:w="2273" w:type="dxa"/>
            <w:tcBorders>
              <w:top w:val="single" w:color="auto" w:sz="4" w:space="0"/>
              <w:left w:val="single" w:color="auto" w:sz="4" w:space="0"/>
              <w:right w:val="single" w:color="auto" w:sz="4" w:space="0"/>
            </w:tcBorders>
            <w:vAlign w:val="center"/>
          </w:tcPr>
          <w:p>
            <w:pPr>
              <w:widowControl/>
              <w:jc w:val="center"/>
              <w:rPr>
                <w:rFonts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分包名称</w:t>
            </w:r>
          </w:p>
        </w:tc>
        <w:tc>
          <w:tcPr>
            <w:tcW w:w="1963" w:type="dxa"/>
            <w:tcBorders>
              <w:top w:val="single" w:color="auto" w:sz="4" w:space="0"/>
              <w:left w:val="single" w:color="auto" w:sz="4" w:space="0"/>
              <w:right w:val="single" w:color="auto" w:sz="4" w:space="0"/>
            </w:tcBorders>
            <w:vAlign w:val="center"/>
          </w:tcPr>
          <w:p>
            <w:pPr>
              <w:widowControl/>
              <w:jc w:val="both"/>
              <w:rPr>
                <w:rFonts w:ascii="方正仿宋_GBK" w:hAnsi="方正仿宋_GBK" w:eastAsia="方正仿宋_GBK" w:cs="方正仿宋_GBK"/>
                <w:kern w:val="0"/>
                <w:szCs w:val="28"/>
              </w:rPr>
            </w:pPr>
            <w:r>
              <w:rPr>
                <w:rFonts w:hint="eastAsia" w:ascii="方正仿宋_GBK" w:hAnsi="方正仿宋_GBK" w:eastAsia="方正仿宋_GBK" w:cs="方正仿宋_GBK"/>
                <w:kern w:val="0"/>
                <w:szCs w:val="28"/>
                <w:lang w:val="en-US" w:eastAsia="zh-CN"/>
              </w:rPr>
              <w:t xml:space="preserve">  </w:t>
            </w:r>
            <w:r>
              <w:rPr>
                <w:rFonts w:hint="eastAsia" w:ascii="方正仿宋_GBK" w:hAnsi="方正仿宋_GBK" w:eastAsia="方正仿宋_GBK" w:cs="方正仿宋_GBK"/>
                <w:kern w:val="0"/>
                <w:szCs w:val="28"/>
              </w:rPr>
              <w:t>采购预算</w:t>
            </w:r>
          </w:p>
          <w:p>
            <w:pPr>
              <w:jc w:val="center"/>
              <w:rPr>
                <w:rFonts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（元）</w:t>
            </w:r>
          </w:p>
        </w:tc>
        <w:tc>
          <w:tcPr>
            <w:tcW w:w="1841" w:type="dxa"/>
            <w:tcBorders>
              <w:top w:val="single" w:color="auto" w:sz="4" w:space="0"/>
              <w:left w:val="single" w:color="auto" w:sz="4" w:space="0"/>
              <w:right w:val="single" w:color="auto" w:sz="4" w:space="0"/>
            </w:tcBorders>
            <w:vAlign w:val="center"/>
          </w:tcPr>
          <w:p>
            <w:pPr>
              <w:widowControl/>
              <w:jc w:val="center"/>
              <w:rPr>
                <w:rFonts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谈判保证金</w:t>
            </w:r>
          </w:p>
          <w:p>
            <w:pPr>
              <w:jc w:val="center"/>
              <w:rPr>
                <w:rFonts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（元）</w:t>
            </w:r>
          </w:p>
        </w:tc>
        <w:tc>
          <w:tcPr>
            <w:tcW w:w="2263" w:type="dxa"/>
            <w:tcBorders>
              <w:top w:val="single" w:color="auto" w:sz="4" w:space="0"/>
              <w:left w:val="single" w:color="auto" w:sz="4" w:space="0"/>
              <w:right w:val="single" w:color="auto" w:sz="4" w:space="0"/>
            </w:tcBorders>
            <w:vAlign w:val="center"/>
          </w:tcPr>
          <w:p>
            <w:pPr>
              <w:jc w:val="center"/>
              <w:rPr>
                <w:rFonts w:hint="eastAsia" w:ascii="方正仿宋_GBK" w:hAnsi="方正仿宋_GBK" w:eastAsia="方正仿宋_GBK" w:cs="方正仿宋_GBK"/>
                <w:kern w:val="0"/>
                <w:szCs w:val="28"/>
                <w:lang w:val="en-US" w:eastAsia="zh-CN"/>
              </w:rPr>
            </w:pPr>
            <w:r>
              <w:rPr>
                <w:rFonts w:hint="eastAsia" w:ascii="方正仿宋_GBK" w:hAnsi="方正仿宋_GBK" w:eastAsia="方正仿宋_GBK" w:cs="方正仿宋_GBK"/>
                <w:kern w:val="0"/>
                <w:szCs w:val="28"/>
                <w:lang w:val="en-US" w:eastAsia="zh-CN"/>
              </w:rPr>
              <w:t>招标期限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76" w:type="dxa"/>
            <w:tcBorders>
              <w:top w:val="single" w:color="auto" w:sz="4" w:space="0"/>
              <w:left w:val="single" w:color="auto" w:sz="4" w:space="0"/>
              <w:right w:val="single" w:color="auto" w:sz="4" w:space="0"/>
            </w:tcBorders>
            <w:vAlign w:val="center"/>
          </w:tcPr>
          <w:p>
            <w:pPr>
              <w:widowControl/>
              <w:jc w:val="center"/>
              <w:rPr>
                <w:rFonts w:ascii="方正仿宋_GBK" w:hAnsi="方正仿宋_GBK" w:eastAsia="方正仿宋_GBK" w:cs="方正仿宋_GBK"/>
                <w:color w:val="FF0000"/>
                <w:kern w:val="0"/>
                <w:szCs w:val="28"/>
              </w:rPr>
            </w:pPr>
            <w:bookmarkStart w:id="6" w:name="_Hlk344477914"/>
            <w:r>
              <w:rPr>
                <w:rFonts w:hint="eastAsia" w:ascii="方正仿宋_GBK" w:hAnsi="方正仿宋_GBK" w:eastAsia="方正仿宋_GBK" w:cs="方正仿宋_GBK"/>
                <w:color w:val="FF0000"/>
                <w:kern w:val="0"/>
                <w:szCs w:val="28"/>
              </w:rPr>
              <w:t>1</w:t>
            </w:r>
          </w:p>
        </w:tc>
        <w:tc>
          <w:tcPr>
            <w:tcW w:w="2273" w:type="dxa"/>
            <w:tcBorders>
              <w:top w:val="single" w:color="auto" w:sz="4" w:space="0"/>
              <w:left w:val="single" w:color="auto" w:sz="4" w:space="0"/>
              <w:right w:val="single" w:color="auto" w:sz="4" w:space="0"/>
            </w:tcBorders>
            <w:vAlign w:val="center"/>
          </w:tcPr>
          <w:p>
            <w:pPr>
              <w:widowControl/>
              <w:rPr>
                <w:rFonts w:hint="eastAsia" w:ascii="方正仿宋_GBK" w:hAnsi="方正仿宋_GBK" w:eastAsia="方正仿宋_GBK" w:cs="方正仿宋_GBK"/>
                <w:color w:val="FF0000"/>
                <w:kern w:val="0"/>
                <w:szCs w:val="28"/>
                <w:u w:val="single"/>
                <w:lang w:val="en-US" w:eastAsia="zh-CN"/>
              </w:rPr>
            </w:pPr>
            <w:r>
              <w:rPr>
                <w:rFonts w:hint="eastAsia" w:ascii="方正仿宋_GBK" w:hAnsi="方正仿宋_GBK" w:eastAsia="方正仿宋_GBK" w:cs="方正仿宋_GBK"/>
                <w:color w:val="FF0000"/>
                <w:kern w:val="0"/>
                <w:szCs w:val="28"/>
                <w:u w:val="single"/>
                <w:lang w:val="en-US" w:eastAsia="zh-CN"/>
              </w:rPr>
              <w:t>体检报告封面</w:t>
            </w:r>
          </w:p>
        </w:tc>
        <w:tc>
          <w:tcPr>
            <w:tcW w:w="1963" w:type="dxa"/>
            <w:tcBorders>
              <w:top w:val="single" w:color="auto" w:sz="4" w:space="0"/>
              <w:left w:val="single" w:color="auto" w:sz="4" w:space="0"/>
              <w:right w:val="single" w:color="auto" w:sz="4" w:space="0"/>
            </w:tcBorders>
            <w:vAlign w:val="center"/>
          </w:tcPr>
          <w:p>
            <w:pPr>
              <w:widowControl/>
              <w:jc w:val="center"/>
              <w:rPr>
                <w:rFonts w:ascii="方正仿宋_GBK" w:hAnsi="方正仿宋_GBK" w:eastAsia="方正仿宋_GBK" w:cs="方正仿宋_GBK"/>
                <w:color w:val="FF0000"/>
                <w:kern w:val="0"/>
                <w:szCs w:val="28"/>
                <w:u w:val="single"/>
              </w:rPr>
            </w:pPr>
            <w:r>
              <w:rPr>
                <w:rFonts w:hint="eastAsia" w:ascii="方正楷体_GBK" w:eastAsia="方正楷体_GBK"/>
                <w:color w:val="000000"/>
                <w:sz w:val="28"/>
                <w:szCs w:val="28"/>
              </w:rPr>
              <w:t>0.93元/个</w:t>
            </w:r>
          </w:p>
        </w:tc>
        <w:tc>
          <w:tcPr>
            <w:tcW w:w="1841" w:type="dxa"/>
            <w:tcBorders>
              <w:top w:val="single" w:color="auto" w:sz="4" w:space="0"/>
              <w:left w:val="single" w:color="auto" w:sz="4" w:space="0"/>
              <w:right w:val="single" w:color="auto" w:sz="4" w:space="0"/>
            </w:tcBorders>
            <w:vAlign w:val="center"/>
          </w:tcPr>
          <w:p>
            <w:pPr>
              <w:widowControl/>
              <w:jc w:val="both"/>
              <w:rPr>
                <w:rFonts w:hint="eastAsia" w:ascii="方正仿宋_GBK" w:hAnsi="方正仿宋_GBK" w:eastAsia="方正仿宋_GBK" w:cs="方正仿宋_GBK"/>
                <w:color w:val="FF0000"/>
                <w:kern w:val="0"/>
                <w:szCs w:val="28"/>
                <w:u w:val="single"/>
                <w:lang w:val="en-US" w:eastAsia="zh-CN"/>
              </w:rPr>
            </w:pPr>
            <w:r>
              <w:rPr>
                <w:rFonts w:hint="eastAsia" w:ascii="方正仿宋_GBK" w:hAnsi="方正仿宋_GBK" w:eastAsia="方正仿宋_GBK" w:cs="方正仿宋_GBK"/>
                <w:color w:val="FF0000"/>
                <w:kern w:val="0"/>
                <w:szCs w:val="28"/>
                <w:u w:val="single"/>
                <w:lang w:val="en-US" w:eastAsia="zh-CN"/>
              </w:rPr>
              <w:t>1000元</w:t>
            </w:r>
          </w:p>
        </w:tc>
        <w:tc>
          <w:tcPr>
            <w:tcW w:w="2263"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color w:val="FF0000"/>
                <w:kern w:val="0"/>
                <w:szCs w:val="28"/>
                <w:lang w:val="en-US" w:eastAsia="zh-CN"/>
              </w:rPr>
            </w:pPr>
            <w:r>
              <w:rPr>
                <w:rFonts w:hint="eastAsia" w:ascii="方正仿宋_GBK" w:hAnsi="方正仿宋_GBK" w:eastAsia="方正仿宋_GBK" w:cs="方正仿宋_GBK"/>
                <w:color w:val="FF0000"/>
                <w:kern w:val="0"/>
                <w:szCs w:val="28"/>
                <w:lang w:val="en-US" w:eastAsia="zh-CN"/>
              </w:rPr>
              <w:t>2年</w:t>
            </w:r>
          </w:p>
        </w:tc>
      </w:tr>
      <w:bookmarkEnd w:id="6"/>
    </w:tbl>
    <w:p>
      <w:pPr>
        <w:pStyle w:val="3"/>
        <w:spacing w:line="400" w:lineRule="exact"/>
        <w:rPr>
          <w:rFonts w:ascii="方正仿宋_GBK" w:hAnsi="方正仿宋_GBK" w:eastAsia="方正仿宋_GBK" w:cs="方正仿宋_GBK"/>
          <w:sz w:val="28"/>
          <w:szCs w:val="28"/>
        </w:rPr>
      </w:pPr>
      <w:bookmarkStart w:id="7" w:name="_Toc480201020"/>
      <w:bookmarkStart w:id="8" w:name="_Toc373860293"/>
      <w:bookmarkStart w:id="9" w:name="_Toc317775178"/>
      <w:r>
        <w:rPr>
          <w:rFonts w:hint="eastAsia" w:ascii="方正仿宋_GBK" w:hAnsi="方正仿宋_GBK" w:eastAsia="方正仿宋_GBK" w:cs="方正仿宋_GBK"/>
          <w:sz w:val="28"/>
          <w:szCs w:val="28"/>
        </w:rPr>
        <w:t>二、资金来源</w:t>
      </w:r>
      <w:bookmarkEnd w:id="7"/>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自筹资金。</w:t>
      </w:r>
    </w:p>
    <w:p>
      <w:pPr>
        <w:pStyle w:val="3"/>
        <w:spacing w:line="400" w:lineRule="exact"/>
        <w:rPr>
          <w:rFonts w:ascii="方正仿宋_GBK" w:hAnsi="方正仿宋_GBK" w:eastAsia="方正仿宋_GBK" w:cs="方正仿宋_GBK"/>
          <w:sz w:val="28"/>
          <w:szCs w:val="28"/>
        </w:rPr>
      </w:pPr>
      <w:bookmarkStart w:id="10" w:name="_Toc480201021"/>
      <w:r>
        <w:rPr>
          <w:rFonts w:hint="eastAsia" w:ascii="方正仿宋_GBK" w:hAnsi="方正仿宋_GBK" w:eastAsia="方正仿宋_GBK" w:cs="方正仿宋_GBK"/>
          <w:sz w:val="28"/>
          <w:szCs w:val="28"/>
        </w:rPr>
        <w:t>三、供应商资格条件</w:t>
      </w:r>
      <w:bookmarkEnd w:id="10"/>
      <w:bookmarkStart w:id="85" w:name="_GoBack"/>
      <w:bookmarkEnd w:id="85"/>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供应商是指向采购人提供服务或者货物的法人、其他组织或者自然人。合格的供应商应首先符合政府采购法第二十二条规定的基本资格条件，同时符合根据该项目特殊要求设置的特定资格条件。</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不接受联合体竞标。</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（一）基本资格条件</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1、具有独立承担民事责任的能力；</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2、具有良好的商业信誉和健全的财务会计制度；</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3、具有履行合同所必需的设备和专业技术能力；</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4、有依法缴纳税收和社会保障资金的良好记录；</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5、参加政府采购活动前三年内，在经营活动中没有重大违法记录；</w:t>
      </w:r>
    </w:p>
    <w:p>
      <w:pPr>
        <w:spacing w:line="480" w:lineRule="exact"/>
        <w:ind w:firstLine="560" w:firstLineChars="200"/>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6、法律、行政法规规定的其他条件。</w:t>
      </w:r>
    </w:p>
    <w:p>
      <w:pPr>
        <w:spacing w:line="480" w:lineRule="exact"/>
        <w:rPr>
          <w:rFonts w:hint="eastAsia" w:ascii="方正仿宋_GBK" w:hAnsi="方正仿宋_GBK" w:eastAsia="方正仿宋_GBK" w:cs="方正仿宋_GBK"/>
          <w:szCs w:val="28"/>
        </w:rPr>
      </w:pPr>
      <w:r>
        <w:rPr>
          <w:rFonts w:hint="eastAsia" w:ascii="方正仿宋_GBK" w:hAnsi="方正仿宋_GBK" w:eastAsia="方正仿宋_GBK" w:cs="方正仿宋_GBK"/>
          <w:szCs w:val="28"/>
          <w:lang w:val="en-US" w:eastAsia="zh-CN"/>
        </w:rPr>
        <w:t xml:space="preserve">   </w:t>
      </w:r>
      <w:r>
        <w:rPr>
          <w:rFonts w:hint="eastAsia" w:ascii="方正仿宋_GBK" w:hAnsi="方正仿宋_GBK" w:eastAsia="方正仿宋_GBK" w:cs="方正仿宋_GBK"/>
          <w:szCs w:val="28"/>
        </w:rPr>
        <w:t>（二）特定资格条件</w:t>
      </w:r>
      <w:bookmarkStart w:id="11" w:name="_Toc480201022"/>
    </w:p>
    <w:p>
      <w:pPr>
        <w:spacing w:line="480" w:lineRule="exact"/>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t xml:space="preserve">    无</w:t>
      </w:r>
    </w:p>
    <w:p>
      <w:pPr>
        <w:pStyle w:val="3"/>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四、谈判有关说明</w:t>
      </w:r>
      <w:bookmarkEnd w:id="8"/>
      <w:bookmarkEnd w:id="11"/>
    </w:p>
    <w:p>
      <w:pPr>
        <w:spacing w:line="480" w:lineRule="exact"/>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（一）为确认投标人身份合法有效，由法定代表人参与投标的，需持本人身份证原件（复印件加盖投标单位鲜章）和法定代表人身份证明书（格式）原件，报名时与响应文件同时递交。</w:t>
      </w:r>
    </w:p>
    <w:p>
      <w:pPr>
        <w:spacing w:line="480" w:lineRule="exact"/>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二）为确认投标人身份合法有效，由法定代表人授权代表参与投标的，需持法定代表人身份证复印件（加盖投标单位鲜章）和法定代表人身份证明书（格式）原件，法定代表人授权委托书（格式）原件和被委托人身份证原件（复印件加盖投标单位鲜章），报名时与响应文件同时递交。</w:t>
      </w:r>
    </w:p>
    <w:p>
      <w:pPr>
        <w:spacing w:line="480" w:lineRule="exact"/>
        <w:ind w:firstLine="560" w:firstLineChars="200"/>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 xml:space="preserve"> 注：以上要求的资料须在现场报名时单独提交一份进行验核和收取，未按以上要求执行的投标人将视为以他人名义投标，其响应文件拒绝接收。</w:t>
      </w:r>
    </w:p>
    <w:p>
      <w:pPr>
        <w:spacing w:line="480" w:lineRule="exact"/>
        <w:rPr>
          <w:rFonts w:ascii="方正仿宋_GBK" w:hAnsi="方正仿宋_GBK" w:eastAsia="方正仿宋_GBK" w:cs="方正仿宋_GBK"/>
          <w:szCs w:val="28"/>
        </w:rPr>
      </w:pPr>
      <w:r>
        <w:rPr>
          <w:rFonts w:hint="eastAsia" w:ascii="方正仿宋_GBK" w:hAnsi="方正仿宋_GBK" w:eastAsia="方正仿宋_GBK" w:cs="方正仿宋_GBK"/>
          <w:szCs w:val="28"/>
        </w:rPr>
        <w:t>（</w:t>
      </w:r>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）凡有意参加谈判的供应商，请在“行采家”平台（http://www.gec123.com）或合川区人民医院官网（</w:t>
      </w:r>
      <w:r>
        <w:rPr>
          <w:rFonts w:ascii="方正仿宋_GBK" w:hAnsi="方正仿宋_GBK" w:eastAsia="方正仿宋_GBK" w:cs="方正仿宋_GBK"/>
          <w:szCs w:val="28"/>
        </w:rPr>
        <w:t>http://www.hcrmyy.cn</w:t>
      </w:r>
      <w:r>
        <w:rPr>
          <w:rFonts w:hint="eastAsia" w:ascii="方正仿宋_GBK" w:hAnsi="方正仿宋_GBK" w:eastAsia="方正仿宋_GBK" w:cs="方正仿宋_GBK"/>
          <w:szCs w:val="28"/>
        </w:rPr>
        <w:t>）上下载本项目谈判文件以及图纸、补遗等谈判前公布的所有项目资料，无论供应商领取或下载与否，均视为已知晓所有谈判内容。本项目不接受联合体竞标。</w:t>
      </w:r>
    </w:p>
    <w:p>
      <w:pPr>
        <w:numPr>
          <w:numId w:val="0"/>
        </w:numPr>
        <w:rPr>
          <w:rFonts w:ascii="方正仿宋_GBK" w:hAnsi="方正仿宋_GBK" w:eastAsia="方正仿宋_GBK" w:cs="方正仿宋_GBK"/>
          <w:szCs w:val="28"/>
        </w:rPr>
      </w:pPr>
      <w:r>
        <w:rPr>
          <w:rFonts w:hint="eastAsia" w:ascii="方正仿宋_GBK" w:hAnsi="方正仿宋_GBK" w:eastAsia="方正仿宋_GBK" w:cs="方正仿宋_GBK"/>
          <w:szCs w:val="28"/>
          <w:lang w:eastAsia="zh-CN"/>
        </w:rPr>
        <w:t>（</w:t>
      </w:r>
      <w:r>
        <w:rPr>
          <w:rFonts w:hint="eastAsia" w:ascii="方正仿宋_GBK" w:hAnsi="方正仿宋_GBK" w:eastAsia="方正仿宋_GBK" w:cs="方正仿宋_GBK"/>
          <w:szCs w:val="28"/>
          <w:lang w:val="en-US" w:eastAsia="zh-CN"/>
        </w:rPr>
        <w:t>四</w:t>
      </w:r>
      <w:r>
        <w:rPr>
          <w:rFonts w:hint="eastAsia" w:ascii="方正仿宋_GBK" w:hAnsi="方正仿宋_GBK" w:eastAsia="方正仿宋_GBK" w:cs="方正仿宋_GBK"/>
          <w:szCs w:val="28"/>
          <w:lang w:eastAsia="zh-CN"/>
        </w:rPr>
        <w:t>）</w:t>
      </w:r>
      <w:r>
        <w:rPr>
          <w:rFonts w:hint="eastAsia" w:ascii="方正仿宋_GBK" w:hAnsi="方正仿宋_GBK" w:eastAsia="方正仿宋_GBK" w:cs="方正仿宋_GBK"/>
          <w:szCs w:val="28"/>
        </w:rPr>
        <w:t>供应商须满足以下二种要件，其响应文件才被接受：</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1、按时递交</w:t>
      </w:r>
      <w:r>
        <w:rPr>
          <w:rFonts w:hint="eastAsia" w:ascii="方正仿宋_GBK" w:hAnsi="方正仿宋_GBK" w:eastAsia="方正仿宋_GBK" w:cs="方正仿宋_GBK"/>
          <w:szCs w:val="28"/>
          <w:lang w:val="en-US" w:eastAsia="zh-CN"/>
        </w:rPr>
        <w:t>投标保证金</w:t>
      </w:r>
      <w:r>
        <w:rPr>
          <w:rFonts w:hint="eastAsia" w:ascii="方正仿宋_GBK" w:hAnsi="方正仿宋_GBK" w:eastAsia="方正仿宋_GBK" w:cs="方正仿宋_GBK"/>
          <w:szCs w:val="28"/>
        </w:rPr>
        <w:t>；</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2、按时报名签到</w:t>
      </w:r>
      <w:r>
        <w:rPr>
          <w:rFonts w:hint="eastAsia" w:ascii="方正仿宋_GBK" w:hAnsi="方正仿宋_GBK" w:eastAsia="方正仿宋_GBK" w:cs="方正仿宋_GBK"/>
          <w:szCs w:val="28"/>
          <w:lang w:val="en-US" w:eastAsia="zh-CN"/>
        </w:rPr>
        <w:t>并提交投标文件</w:t>
      </w:r>
      <w:r>
        <w:rPr>
          <w:rFonts w:hint="eastAsia" w:ascii="方正仿宋_GBK" w:hAnsi="方正仿宋_GBK" w:eastAsia="方正仿宋_GBK" w:cs="方正仿宋_GBK"/>
          <w:szCs w:val="28"/>
        </w:rPr>
        <w:t>。</w:t>
      </w:r>
    </w:p>
    <w:p>
      <w:pPr>
        <w:spacing w:line="480" w:lineRule="exact"/>
        <w:ind w:left="280" w:hanging="280" w:hangingChars="100"/>
        <w:rPr>
          <w:rFonts w:ascii="方正仿宋_GBK" w:hAnsi="方正仿宋_GBK" w:eastAsia="方正仿宋_GBK" w:cs="方正仿宋_GBK"/>
          <w:szCs w:val="28"/>
        </w:rPr>
      </w:pPr>
      <w:r>
        <w:rPr>
          <w:rFonts w:hint="eastAsia" w:ascii="方正仿宋_GBK" w:hAnsi="方正仿宋_GBK" w:eastAsia="方正仿宋_GBK" w:cs="方正仿宋_GBK"/>
          <w:szCs w:val="28"/>
        </w:rPr>
        <w:t>（</w:t>
      </w:r>
      <w:r>
        <w:rPr>
          <w:rFonts w:hint="eastAsia" w:ascii="方正仿宋_GBK" w:hAnsi="方正仿宋_GBK" w:eastAsia="方正仿宋_GBK" w:cs="方正仿宋_GBK"/>
          <w:szCs w:val="28"/>
          <w:lang w:val="en-US" w:eastAsia="zh-CN"/>
        </w:rPr>
        <w:t>五</w:t>
      </w:r>
      <w:r>
        <w:rPr>
          <w:rFonts w:hint="eastAsia" w:ascii="方正仿宋_GBK" w:hAnsi="方正仿宋_GBK" w:eastAsia="方正仿宋_GBK" w:cs="方正仿宋_GBK"/>
          <w:szCs w:val="28"/>
        </w:rPr>
        <w:t>）谈判地点：重庆市合川区人民医院招标办（重庆市合川区希尔安大道1366号行政楼</w:t>
      </w:r>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楼）。</w:t>
      </w:r>
    </w:p>
    <w:bookmarkEnd w:id="9"/>
    <w:p>
      <w:pPr>
        <w:spacing w:line="480" w:lineRule="exact"/>
        <w:ind w:left="280" w:hanging="280" w:hangingChars="100"/>
        <w:rPr>
          <w:rFonts w:ascii="方正仿宋_GBK" w:hAnsi="方正仿宋_GBK" w:eastAsia="方正仿宋_GBK" w:cs="方正仿宋_GBK"/>
          <w:color w:val="auto"/>
          <w:szCs w:val="28"/>
        </w:rPr>
      </w:pPr>
      <w:bookmarkStart w:id="12" w:name="_Toc480201025"/>
      <w:r>
        <w:rPr>
          <w:rFonts w:hint="eastAsia" w:ascii="方正仿宋_GBK" w:hAnsi="方正仿宋_GBK" w:eastAsia="方正仿宋_GBK" w:cs="方正仿宋_GBK"/>
          <w:color w:val="auto"/>
          <w:szCs w:val="28"/>
        </w:rPr>
        <w:t>（</w:t>
      </w:r>
      <w:r>
        <w:rPr>
          <w:rFonts w:hint="eastAsia" w:ascii="方正仿宋_GBK" w:hAnsi="方正仿宋_GBK" w:eastAsia="方正仿宋_GBK" w:cs="方正仿宋_GBK"/>
          <w:color w:val="auto"/>
          <w:szCs w:val="28"/>
          <w:lang w:val="en-US" w:eastAsia="zh-CN"/>
        </w:rPr>
        <w:t>六</w:t>
      </w:r>
      <w:r>
        <w:rPr>
          <w:rFonts w:hint="eastAsia" w:ascii="方正仿宋_GBK" w:hAnsi="方正仿宋_GBK" w:eastAsia="方正仿宋_GBK" w:cs="方正仿宋_GBK"/>
          <w:color w:val="auto"/>
          <w:szCs w:val="28"/>
        </w:rPr>
        <w:t>）提交响应文件开始时间：202</w:t>
      </w:r>
      <w:r>
        <w:rPr>
          <w:rFonts w:hint="eastAsia" w:ascii="方正仿宋_GBK" w:hAnsi="方正仿宋_GBK" w:eastAsia="方正仿宋_GBK" w:cs="方正仿宋_GBK"/>
          <w:color w:val="auto"/>
          <w:szCs w:val="28"/>
          <w:lang w:val="en-US" w:eastAsia="zh-CN"/>
        </w:rPr>
        <w:t>2</w:t>
      </w:r>
      <w:r>
        <w:rPr>
          <w:rFonts w:hint="eastAsia" w:ascii="方正仿宋_GBK" w:hAnsi="方正仿宋_GBK" w:eastAsia="方正仿宋_GBK" w:cs="方正仿宋_GBK"/>
          <w:color w:val="auto"/>
          <w:szCs w:val="28"/>
        </w:rPr>
        <w:t>年</w:t>
      </w:r>
      <w:r>
        <w:rPr>
          <w:rFonts w:hint="eastAsia" w:ascii="方正仿宋_GBK" w:hAnsi="方正仿宋_GBK" w:eastAsia="方正仿宋_GBK" w:cs="方正仿宋_GBK"/>
          <w:color w:val="auto"/>
          <w:szCs w:val="28"/>
          <w:lang w:val="en-US" w:eastAsia="zh-CN"/>
        </w:rPr>
        <w:t>3</w:t>
      </w:r>
      <w:r>
        <w:rPr>
          <w:rFonts w:hint="eastAsia" w:ascii="方正仿宋_GBK" w:hAnsi="方正仿宋_GBK" w:eastAsia="方正仿宋_GBK" w:cs="方正仿宋_GBK"/>
          <w:color w:val="auto"/>
          <w:szCs w:val="28"/>
        </w:rPr>
        <w:t>月</w:t>
      </w:r>
      <w:r>
        <w:rPr>
          <w:rFonts w:hint="eastAsia" w:ascii="方正仿宋_GBK" w:hAnsi="方正仿宋_GBK" w:eastAsia="方正仿宋_GBK" w:cs="方正仿宋_GBK"/>
          <w:color w:val="auto"/>
          <w:szCs w:val="28"/>
          <w:lang w:val="en-US" w:eastAsia="zh-CN"/>
        </w:rPr>
        <w:t>24</w:t>
      </w:r>
      <w:r>
        <w:rPr>
          <w:rFonts w:hint="eastAsia" w:ascii="方正仿宋_GBK" w:hAnsi="方正仿宋_GBK" w:eastAsia="方正仿宋_GBK" w:cs="方正仿宋_GBK"/>
          <w:color w:val="auto"/>
          <w:szCs w:val="28"/>
        </w:rPr>
        <w:t>日北京时间09:00。</w:t>
      </w:r>
    </w:p>
    <w:p>
      <w:pPr>
        <w:spacing w:line="480" w:lineRule="exact"/>
        <w:ind w:left="280" w:hanging="280" w:hangingChars="100"/>
        <w:rPr>
          <w:rFonts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w:t>
      </w:r>
      <w:r>
        <w:rPr>
          <w:rFonts w:hint="eastAsia" w:ascii="方正仿宋_GBK" w:hAnsi="方正仿宋_GBK" w:eastAsia="方正仿宋_GBK" w:cs="方正仿宋_GBK"/>
          <w:color w:val="auto"/>
          <w:szCs w:val="28"/>
          <w:lang w:val="en-US" w:eastAsia="zh-CN"/>
        </w:rPr>
        <w:t>七</w:t>
      </w:r>
      <w:r>
        <w:rPr>
          <w:rFonts w:hint="eastAsia" w:ascii="方正仿宋_GBK" w:hAnsi="方正仿宋_GBK" w:eastAsia="方正仿宋_GBK" w:cs="方正仿宋_GBK"/>
          <w:color w:val="auto"/>
          <w:szCs w:val="28"/>
        </w:rPr>
        <w:t>）提交响应文件截止时间：2</w:t>
      </w:r>
      <w:r>
        <w:rPr>
          <w:rFonts w:hint="eastAsia" w:ascii="方正仿宋_GBK" w:hAnsi="方正仿宋_GBK" w:eastAsia="方正仿宋_GBK" w:cs="方正仿宋_GBK"/>
          <w:color w:val="auto"/>
          <w:szCs w:val="28"/>
          <w:lang w:val="en-US" w:eastAsia="zh-CN"/>
        </w:rPr>
        <w:t>022</w:t>
      </w:r>
      <w:r>
        <w:rPr>
          <w:rFonts w:hint="eastAsia" w:ascii="方正仿宋_GBK" w:hAnsi="方正仿宋_GBK" w:eastAsia="方正仿宋_GBK" w:cs="方正仿宋_GBK"/>
          <w:color w:val="auto"/>
          <w:szCs w:val="28"/>
        </w:rPr>
        <w:t>年</w:t>
      </w:r>
      <w:r>
        <w:rPr>
          <w:rFonts w:hint="eastAsia" w:ascii="方正仿宋_GBK" w:hAnsi="方正仿宋_GBK" w:eastAsia="方正仿宋_GBK" w:cs="方正仿宋_GBK"/>
          <w:color w:val="auto"/>
          <w:szCs w:val="28"/>
          <w:lang w:val="en-US" w:eastAsia="zh-CN"/>
        </w:rPr>
        <w:t>3</w:t>
      </w:r>
      <w:r>
        <w:rPr>
          <w:rFonts w:hint="eastAsia" w:ascii="方正仿宋_GBK" w:hAnsi="方正仿宋_GBK" w:eastAsia="方正仿宋_GBK" w:cs="方正仿宋_GBK"/>
          <w:color w:val="auto"/>
          <w:szCs w:val="28"/>
        </w:rPr>
        <w:t>月</w:t>
      </w:r>
      <w:r>
        <w:rPr>
          <w:rFonts w:hint="eastAsia" w:ascii="方正仿宋_GBK" w:hAnsi="方正仿宋_GBK" w:eastAsia="方正仿宋_GBK" w:cs="方正仿宋_GBK"/>
          <w:color w:val="auto"/>
          <w:szCs w:val="28"/>
          <w:lang w:val="en-US" w:eastAsia="zh-CN"/>
        </w:rPr>
        <w:t>24</w:t>
      </w:r>
      <w:r>
        <w:rPr>
          <w:rFonts w:hint="eastAsia" w:ascii="方正仿宋_GBK" w:hAnsi="方正仿宋_GBK" w:eastAsia="方正仿宋_GBK" w:cs="方正仿宋_GBK"/>
          <w:color w:val="auto"/>
          <w:szCs w:val="28"/>
        </w:rPr>
        <w:t>日北京时间09:30</w:t>
      </w:r>
    </w:p>
    <w:p>
      <w:pPr>
        <w:spacing w:line="480" w:lineRule="exact"/>
        <w:ind w:left="280" w:hanging="280" w:hangingChars="10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w:t>
      </w:r>
      <w:r>
        <w:rPr>
          <w:rFonts w:hint="eastAsia" w:ascii="方正仿宋_GBK" w:hAnsi="方正仿宋_GBK" w:eastAsia="方正仿宋_GBK" w:cs="方正仿宋_GBK"/>
          <w:color w:val="auto"/>
          <w:szCs w:val="28"/>
          <w:lang w:val="en-US" w:eastAsia="zh-CN"/>
        </w:rPr>
        <w:t>八</w:t>
      </w:r>
      <w:r>
        <w:rPr>
          <w:rFonts w:hint="eastAsia" w:ascii="方正仿宋_GBK" w:hAnsi="方正仿宋_GBK" w:eastAsia="方正仿宋_GBK" w:cs="方正仿宋_GBK"/>
          <w:color w:val="auto"/>
          <w:szCs w:val="28"/>
        </w:rPr>
        <w:t>）谈判开始时间：202</w:t>
      </w:r>
      <w:r>
        <w:rPr>
          <w:rFonts w:hint="eastAsia" w:ascii="方正仿宋_GBK" w:hAnsi="方正仿宋_GBK" w:eastAsia="方正仿宋_GBK" w:cs="方正仿宋_GBK"/>
          <w:color w:val="auto"/>
          <w:szCs w:val="28"/>
          <w:lang w:val="en-US" w:eastAsia="zh-CN"/>
        </w:rPr>
        <w:t>2</w:t>
      </w:r>
      <w:r>
        <w:rPr>
          <w:rFonts w:hint="eastAsia" w:ascii="方正仿宋_GBK" w:hAnsi="方正仿宋_GBK" w:eastAsia="方正仿宋_GBK" w:cs="方正仿宋_GBK"/>
          <w:color w:val="auto"/>
          <w:szCs w:val="28"/>
        </w:rPr>
        <w:t>年</w:t>
      </w:r>
      <w:r>
        <w:rPr>
          <w:rFonts w:hint="eastAsia" w:ascii="方正仿宋_GBK" w:hAnsi="方正仿宋_GBK" w:eastAsia="方正仿宋_GBK" w:cs="方正仿宋_GBK"/>
          <w:color w:val="auto"/>
          <w:szCs w:val="28"/>
          <w:lang w:val="en-US" w:eastAsia="zh-CN"/>
        </w:rPr>
        <w:t>3</w:t>
      </w:r>
      <w:r>
        <w:rPr>
          <w:rFonts w:hint="eastAsia" w:ascii="方正仿宋_GBK" w:hAnsi="方正仿宋_GBK" w:eastAsia="方正仿宋_GBK" w:cs="方正仿宋_GBK"/>
          <w:color w:val="auto"/>
          <w:szCs w:val="28"/>
        </w:rPr>
        <w:t>月</w:t>
      </w:r>
      <w:r>
        <w:rPr>
          <w:rFonts w:hint="eastAsia" w:ascii="方正仿宋_GBK" w:hAnsi="方正仿宋_GBK" w:eastAsia="方正仿宋_GBK" w:cs="方正仿宋_GBK"/>
          <w:color w:val="auto"/>
          <w:szCs w:val="28"/>
          <w:lang w:val="en-US" w:eastAsia="zh-CN"/>
        </w:rPr>
        <w:t>24</w:t>
      </w:r>
      <w:r>
        <w:rPr>
          <w:rFonts w:hint="eastAsia" w:ascii="方正仿宋_GBK" w:hAnsi="方正仿宋_GBK" w:eastAsia="方正仿宋_GBK" w:cs="方正仿宋_GBK"/>
          <w:color w:val="auto"/>
          <w:szCs w:val="28"/>
        </w:rPr>
        <w:t>日北京时间</w:t>
      </w:r>
      <w:r>
        <w:rPr>
          <w:rFonts w:hint="eastAsia" w:ascii="方正仿宋_GBK" w:hAnsi="方正仿宋_GBK" w:eastAsia="方正仿宋_GBK" w:cs="方正仿宋_GBK"/>
          <w:color w:val="auto"/>
          <w:szCs w:val="28"/>
          <w:lang w:val="en-US" w:eastAsia="zh-CN"/>
        </w:rPr>
        <w:t>9</w:t>
      </w:r>
      <w:r>
        <w:rPr>
          <w:rFonts w:hint="eastAsia" w:ascii="方正仿宋_GBK" w:hAnsi="方正仿宋_GBK" w:eastAsia="方正仿宋_GBK" w:cs="方正仿宋_GBK"/>
          <w:color w:val="auto"/>
          <w:szCs w:val="28"/>
        </w:rPr>
        <w:t>:</w:t>
      </w:r>
      <w:r>
        <w:rPr>
          <w:rFonts w:hint="eastAsia" w:ascii="方正仿宋_GBK" w:hAnsi="方正仿宋_GBK" w:eastAsia="方正仿宋_GBK" w:cs="方正仿宋_GBK"/>
          <w:color w:val="auto"/>
          <w:szCs w:val="28"/>
          <w:lang w:val="en-US" w:eastAsia="zh-CN"/>
        </w:rPr>
        <w:t>3</w:t>
      </w:r>
      <w:r>
        <w:rPr>
          <w:rFonts w:hint="eastAsia" w:ascii="方正仿宋_GBK" w:hAnsi="方正仿宋_GBK" w:eastAsia="方正仿宋_GBK" w:cs="方正仿宋_GBK"/>
          <w:color w:val="auto"/>
          <w:szCs w:val="28"/>
        </w:rPr>
        <w:t>0</w:t>
      </w:r>
    </w:p>
    <w:p>
      <w:pPr>
        <w:spacing w:line="480" w:lineRule="exact"/>
        <w:ind w:left="280" w:hanging="280" w:hangingChars="100"/>
        <w:rPr>
          <w:rFonts w:hint="eastAsia" w:ascii="方正仿宋_GBK" w:hAnsi="方正仿宋_GBK" w:eastAsia="方正仿宋_GBK" w:cs="方正仿宋_GBK"/>
          <w:szCs w:val="28"/>
          <w:lang w:eastAsia="zh-CN"/>
        </w:rPr>
      </w:pPr>
      <w:r>
        <w:rPr>
          <w:rFonts w:hint="eastAsia" w:ascii="方正仿宋_GBK" w:hAnsi="方正仿宋_GBK" w:eastAsia="方正仿宋_GBK" w:cs="方正仿宋_GBK"/>
          <w:szCs w:val="28"/>
          <w:lang w:eastAsia="zh-CN"/>
        </w:rPr>
        <w:t>（</w:t>
      </w:r>
      <w:r>
        <w:rPr>
          <w:rFonts w:hint="eastAsia" w:ascii="方正仿宋_GBK" w:hAnsi="方正仿宋_GBK" w:eastAsia="方正仿宋_GBK" w:cs="方正仿宋_GBK"/>
          <w:szCs w:val="28"/>
          <w:lang w:val="en-US" w:eastAsia="zh-CN"/>
        </w:rPr>
        <w:t>九</w:t>
      </w:r>
      <w:r>
        <w:rPr>
          <w:rFonts w:hint="eastAsia" w:ascii="方正仿宋_GBK" w:hAnsi="方正仿宋_GBK" w:eastAsia="方正仿宋_GBK" w:cs="方正仿宋_GBK"/>
          <w:szCs w:val="28"/>
          <w:lang w:eastAsia="zh-CN"/>
        </w:rPr>
        <w:t>）</w:t>
      </w:r>
      <w:r>
        <w:rPr>
          <w:rFonts w:hint="eastAsia" w:ascii="方正仿宋_GBK" w:hAnsi="方正仿宋_GBK" w:eastAsia="方正仿宋_GBK" w:cs="方正仿宋_GBK"/>
          <w:szCs w:val="28"/>
          <w:lang w:val="en-US" w:eastAsia="zh-CN"/>
        </w:rPr>
        <w:t>本项目不接受联合体投标。</w:t>
      </w:r>
    </w:p>
    <w:p>
      <w:pPr>
        <w:spacing w:line="480" w:lineRule="exact"/>
        <w:ind w:left="281" w:hanging="281" w:hangingChars="100"/>
        <w:rPr>
          <w:rFonts w:ascii="方正仿宋_GBK" w:hAnsi="方正仿宋_GBK" w:eastAsia="方正仿宋_GBK" w:cs="方正仿宋_GBK"/>
          <w:b/>
          <w:szCs w:val="28"/>
        </w:rPr>
      </w:pPr>
      <w:r>
        <w:rPr>
          <w:rFonts w:hint="eastAsia" w:ascii="方正仿宋_GBK" w:hAnsi="方正仿宋_GBK" w:eastAsia="方正仿宋_GBK" w:cs="方正仿宋_GBK"/>
          <w:b/>
          <w:szCs w:val="28"/>
        </w:rPr>
        <w:t>五、联系方式</w:t>
      </w:r>
      <w:bookmarkEnd w:id="12"/>
    </w:p>
    <w:p>
      <w:pPr>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招标联系人：尹老师</w:t>
      </w:r>
    </w:p>
    <w:p>
      <w:pPr>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电话：（023）42827145</w:t>
      </w:r>
    </w:p>
    <w:p>
      <w:pPr>
        <w:ind w:firstLine="560" w:firstLineChars="200"/>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地址：合川区希尔安大道1366号行政楼底楼</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lang w:val="en-US" w:eastAsia="zh-CN"/>
        </w:rPr>
        <w:t>参数</w:t>
      </w:r>
      <w:r>
        <w:rPr>
          <w:rFonts w:hint="eastAsia" w:ascii="方正仿宋_GBK" w:hAnsi="方正仿宋_GBK" w:eastAsia="方正仿宋_GBK" w:cs="方正仿宋_GBK"/>
          <w:szCs w:val="28"/>
        </w:rPr>
        <w:t>联系人：</w:t>
      </w:r>
      <w:r>
        <w:rPr>
          <w:rFonts w:hint="eastAsia" w:ascii="方正仿宋_GBK" w:hAnsi="方正仿宋_GBK" w:eastAsia="方正仿宋_GBK" w:cs="方正仿宋_GBK"/>
          <w:szCs w:val="28"/>
          <w:lang w:val="en-US" w:eastAsia="zh-CN"/>
        </w:rPr>
        <w:t>周老师</w:t>
      </w:r>
      <w:r>
        <w:rPr>
          <w:rFonts w:hint="eastAsia" w:ascii="方正仿宋_GBK" w:hAnsi="方正仿宋_GBK" w:eastAsia="方正仿宋_GBK" w:cs="方正仿宋_GBK"/>
          <w:szCs w:val="28"/>
        </w:rPr>
        <w:t xml:space="preserve">  </w:t>
      </w:r>
    </w:p>
    <w:p>
      <w:pPr>
        <w:spacing w:line="480" w:lineRule="exact"/>
        <w:ind w:firstLine="560" w:firstLineChars="200"/>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电  话：18983356926</w:t>
      </w:r>
    </w:p>
    <w:p>
      <w:pPr>
        <w:spacing w:line="480" w:lineRule="exact"/>
        <w:rPr>
          <w:rFonts w:ascii="方正仿宋_GBK" w:hAnsi="方正仿宋_GBK" w:eastAsia="方正仿宋_GBK" w:cs="方正仿宋_GBK"/>
          <w:b/>
          <w:szCs w:val="28"/>
        </w:rPr>
      </w:pPr>
      <w:r>
        <w:rPr>
          <w:rFonts w:hint="eastAsia" w:ascii="方正仿宋_GBK" w:hAnsi="方正仿宋_GBK" w:eastAsia="方正仿宋_GBK" w:cs="方正仿宋_GBK"/>
          <w:b/>
          <w:szCs w:val="28"/>
        </w:rPr>
        <w:t>六、保证金</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（一）投标保证金金额</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本次</w:t>
      </w:r>
      <w:r>
        <w:rPr>
          <w:rFonts w:hint="eastAsia" w:ascii="方正仿宋_GBK" w:hAnsi="宋体" w:eastAsia="方正仿宋_GBK"/>
          <w:sz w:val="24"/>
          <w:szCs w:val="24"/>
          <w:lang w:val="en-US" w:eastAsia="zh-CN"/>
        </w:rPr>
        <w:t>投标</w:t>
      </w:r>
      <w:r>
        <w:rPr>
          <w:rFonts w:hint="eastAsia" w:ascii="方正仿宋_GBK" w:hAnsi="宋体" w:eastAsia="方正仿宋_GBK"/>
          <w:sz w:val="24"/>
          <w:szCs w:val="24"/>
        </w:rPr>
        <w:t>保证金为人民币</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u w:val="single"/>
          <w:lang w:val="en-US" w:eastAsia="zh-CN"/>
        </w:rPr>
        <w:t xml:space="preserve">1000 </w:t>
      </w:r>
      <w:r>
        <w:rPr>
          <w:rFonts w:hint="eastAsia" w:ascii="方正仿宋_GBK" w:hAnsi="宋体" w:eastAsia="方正仿宋_GBK"/>
          <w:sz w:val="24"/>
          <w:szCs w:val="24"/>
        </w:rPr>
        <w:t>元</w:t>
      </w:r>
      <w:r>
        <w:rPr>
          <w:rFonts w:hint="eastAsia" w:ascii="方正仿宋_GBK" w:hAnsi="宋体" w:eastAsia="方正仿宋_GBK"/>
          <w:sz w:val="24"/>
          <w:szCs w:val="24"/>
          <w:lang w:eastAsia="zh-CN"/>
        </w:rPr>
        <w:t>。</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（二）投标保证金交纳及退还</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1、交纳：</w:t>
      </w:r>
      <w:r>
        <w:rPr>
          <w:rFonts w:hint="eastAsia" w:ascii="方正仿宋_GBK" w:hAnsi="宋体" w:eastAsia="方正仿宋_GBK"/>
          <w:sz w:val="24"/>
          <w:szCs w:val="24"/>
          <w:lang w:val="en-US" w:eastAsia="zh-CN"/>
        </w:rPr>
        <w:t>投标</w:t>
      </w:r>
      <w:r>
        <w:rPr>
          <w:rFonts w:hint="eastAsia" w:ascii="方正仿宋_GBK" w:hAnsi="宋体" w:eastAsia="方正仿宋_GBK"/>
          <w:sz w:val="24"/>
          <w:szCs w:val="24"/>
        </w:rPr>
        <w:t>保证金提交响应文件时交纳现金，请将</w:t>
      </w:r>
      <w:r>
        <w:rPr>
          <w:rFonts w:hint="eastAsia" w:ascii="方正仿宋_GBK" w:hAnsi="宋体" w:eastAsia="方正仿宋_GBK"/>
          <w:sz w:val="24"/>
          <w:szCs w:val="24"/>
          <w:lang w:val="en-US" w:eastAsia="zh-CN"/>
        </w:rPr>
        <w:t>投标</w:t>
      </w:r>
      <w:r>
        <w:rPr>
          <w:rFonts w:hint="eastAsia" w:ascii="方正仿宋_GBK" w:hAnsi="宋体" w:eastAsia="方正仿宋_GBK"/>
          <w:sz w:val="24"/>
          <w:szCs w:val="24"/>
        </w:rPr>
        <w:t>保证金用信封装好密封，在信封封面注明投标项目及公司名称，并在封口处加盖公司公章。</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2、退还：</w:t>
      </w:r>
      <w:r>
        <w:rPr>
          <w:rFonts w:hint="eastAsia" w:ascii="方正仿宋_GBK" w:hAnsi="宋体" w:eastAsia="方正仿宋_GBK"/>
          <w:sz w:val="24"/>
          <w:szCs w:val="24"/>
          <w:lang w:val="en-US" w:eastAsia="zh-CN"/>
        </w:rPr>
        <w:t>谈判</w:t>
      </w:r>
      <w:r>
        <w:rPr>
          <w:rFonts w:hint="eastAsia" w:ascii="方正仿宋_GBK" w:hAnsi="宋体" w:eastAsia="方正仿宋_GBK"/>
          <w:sz w:val="24"/>
          <w:szCs w:val="24"/>
        </w:rPr>
        <w:t>结束后未中标者当场给予退还，中标供应商与我院签订正式合同后</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持有效合同复印件来招标办办理</w:t>
      </w:r>
      <w:r>
        <w:rPr>
          <w:rFonts w:hint="eastAsia" w:ascii="方正仿宋_GBK" w:hAnsi="宋体" w:eastAsia="方正仿宋_GBK"/>
          <w:sz w:val="24"/>
          <w:szCs w:val="24"/>
        </w:rPr>
        <w:t>一次性无息退还</w:t>
      </w:r>
      <w:r>
        <w:rPr>
          <w:rFonts w:hint="eastAsia" w:ascii="方正仿宋_GBK" w:hAnsi="宋体" w:eastAsia="方正仿宋_GBK"/>
          <w:sz w:val="24"/>
          <w:szCs w:val="24"/>
          <w:lang w:eastAsia="zh-CN"/>
        </w:rPr>
        <w:t>。</w:t>
      </w:r>
    </w:p>
    <w:p>
      <w:pPr>
        <w:pStyle w:val="8"/>
        <w:spacing w:line="380" w:lineRule="exact"/>
        <w:ind w:left="241" w:leftChars="86" w:firstLine="482" w:firstLineChars="200"/>
        <w:rPr>
          <w:rFonts w:ascii="方正仿宋_GBK" w:hAnsi="宋体" w:eastAsia="方正仿宋_GBK"/>
          <w:bCs/>
          <w:sz w:val="24"/>
          <w:szCs w:val="24"/>
        </w:rPr>
      </w:pPr>
      <w:r>
        <w:rPr>
          <w:rFonts w:hint="eastAsia" w:ascii="方正仿宋_GBK" w:eastAsia="方正仿宋_GBK"/>
          <w:b/>
          <w:sz w:val="24"/>
          <w:szCs w:val="24"/>
        </w:rPr>
        <w:t xml:space="preserve">咨询电话：（023）42827145     </w:t>
      </w:r>
    </w:p>
    <w:p>
      <w:pPr>
        <w:spacing w:line="480" w:lineRule="exact"/>
        <w:ind w:firstLine="562" w:firstLineChars="200"/>
        <w:rPr>
          <w:rFonts w:ascii="方正仿宋_GBK" w:hAnsi="宋体" w:eastAsia="方正仿宋_GBK"/>
          <w:b/>
          <w:bCs/>
          <w:szCs w:val="28"/>
        </w:rPr>
      </w:pPr>
    </w:p>
    <w:p>
      <w:pPr>
        <w:spacing w:line="480" w:lineRule="exact"/>
        <w:ind w:firstLine="482" w:firstLineChars="200"/>
        <w:rPr>
          <w:rFonts w:ascii="方正仿宋_GBK" w:hAnsi="宋体" w:eastAsia="方正仿宋_GBK"/>
          <w:b/>
          <w:bCs/>
          <w:sz w:val="24"/>
          <w:szCs w:val="24"/>
        </w:rPr>
      </w:pPr>
      <w:bookmarkStart w:id="13" w:name="_Toc480201026"/>
    </w:p>
    <w:p>
      <w:pPr>
        <w:spacing w:line="480" w:lineRule="exact"/>
        <w:rPr>
          <w:rFonts w:ascii="方正小标宋_GBK" w:hAnsi="宋体" w:eastAsia="方正小标宋_GBK"/>
          <w:sz w:val="36"/>
          <w:szCs w:val="30"/>
        </w:rPr>
      </w:pPr>
    </w:p>
    <w:p>
      <w:pPr>
        <w:spacing w:line="480" w:lineRule="exact"/>
        <w:rPr>
          <w:rFonts w:ascii="方正小标宋_GBK" w:hAnsi="宋体" w:eastAsia="方正小标宋_GBK"/>
          <w:sz w:val="36"/>
          <w:szCs w:val="30"/>
        </w:rPr>
        <w:sectPr>
          <w:headerReference r:id="rId4" w:type="default"/>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pPr>
        <w:spacing w:line="480" w:lineRule="exact"/>
        <w:jc w:val="center"/>
        <w:rPr>
          <w:rFonts w:ascii="方正小标宋_GBK" w:hAnsi="宋体" w:eastAsia="方正小标宋_GBK"/>
          <w:sz w:val="30"/>
          <w:szCs w:val="30"/>
        </w:rPr>
      </w:pPr>
      <w:r>
        <w:rPr>
          <w:rFonts w:hint="eastAsia" w:ascii="方正小标宋_GBK" w:hAnsi="宋体" w:eastAsia="方正小标宋_GBK"/>
          <w:sz w:val="36"/>
          <w:szCs w:val="30"/>
        </w:rPr>
        <w:t xml:space="preserve">第二篇  </w:t>
      </w:r>
      <w:r>
        <w:rPr>
          <w:rFonts w:hint="eastAsia" w:ascii="方正小标宋_GBK" w:hAnsi="宋体" w:eastAsia="方正小标宋_GBK"/>
          <w:sz w:val="36"/>
          <w:szCs w:val="30"/>
          <w:lang w:val="en-US" w:eastAsia="zh-CN"/>
        </w:rPr>
        <w:t>谈判项目技术</w:t>
      </w:r>
      <w:r>
        <w:rPr>
          <w:rFonts w:hint="eastAsia" w:ascii="方正小标宋_GBK" w:hAnsi="宋体" w:eastAsia="方正小标宋_GBK"/>
          <w:sz w:val="36"/>
          <w:szCs w:val="30"/>
        </w:rPr>
        <w:t>需求</w:t>
      </w:r>
      <w:bookmarkEnd w:id="13"/>
      <w:bookmarkStart w:id="14" w:name="_Toc12789058"/>
    </w:p>
    <w:p>
      <w:pPr>
        <w:widowControl/>
        <w:shd w:val="clear" w:color="auto" w:fill="FFFFFF"/>
        <w:adjustRightInd w:val="0"/>
        <w:snapToGrid w:val="0"/>
        <w:spacing w:line="596" w:lineRule="exact"/>
        <w:ind w:firstLine="643" w:firstLineChars="200"/>
        <w:jc w:val="left"/>
        <w:rPr>
          <w:rFonts w:ascii="方正楷体_GBK" w:hAnsi="方正楷体_GBK" w:eastAsia="方正楷体_GBK" w:cs="方正楷体_GBK"/>
          <w:b/>
          <w:bCs/>
          <w:color w:val="000000"/>
          <w:sz w:val="32"/>
          <w:szCs w:val="32"/>
        </w:rPr>
      </w:pPr>
    </w:p>
    <w:tbl>
      <w:tblPr>
        <w:tblpPr w:leftFromText="180" w:rightFromText="180" w:vertAnchor="text" w:horzAnchor="page" w:tblpX="1467" w:tblpY="317"/>
        <w:tblOverlap w:val="never"/>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8"/>
        <w:gridCol w:w="7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8" w:hRule="atLeast"/>
        </w:trPr>
        <w:tc>
          <w:tcPr>
            <w:tcW w:w="18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rPr>
            </w:pPr>
            <w:bookmarkStart w:id="15" w:name="_Toc480201027"/>
            <w:r>
              <w:rPr>
                <w:rFonts w:hint="eastAsia" w:ascii="宋体" w:hAnsi="宋体" w:cs="宋体"/>
                <w:color w:val="000000"/>
                <w:sz w:val="22"/>
              </w:rPr>
              <w:t>印制标准</w:t>
            </w:r>
          </w:p>
        </w:tc>
        <w:tc>
          <w:tcPr>
            <w:tcW w:w="70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250g白卡纸+四色双面印刷+过光油+开口+1保密 +离型纸+可撕口+折横起凹技术+网状贴胶工艺+设计</w:t>
            </w:r>
          </w:p>
        </w:tc>
      </w:tr>
    </w:tbl>
    <w:p>
      <w:pPr>
        <w:rPr>
          <w:rFonts w:hint="eastAsia" w:eastAsia="宋体"/>
          <w:lang w:val="en-US" w:eastAsia="zh-CN"/>
        </w:rPr>
      </w:pPr>
      <w:r>
        <w:rPr>
          <w:rFonts w:hint="eastAsia"/>
          <w:lang w:val="en-US" w:eastAsia="zh-CN"/>
        </w:rPr>
        <w:t>注：参考年使用量约25000个左右，以实际用量结算。</w:t>
      </w:r>
    </w:p>
    <w:p>
      <w:pPr>
        <w:spacing w:line="560" w:lineRule="exact"/>
      </w:pPr>
      <w:r>
        <w:rPr>
          <w:rFonts w:hint="eastAsia"/>
        </w:rPr>
        <w:t>1、标准成品正面尺寸：212*297.5mm±0.5mm。平铺尺寸：（424mm +规格尺寸）*297.5mm。</w:t>
      </w:r>
    </w:p>
    <w:p>
      <w:pPr>
        <w:spacing w:line="560" w:lineRule="exact"/>
      </w:pPr>
      <w:r>
        <w:rPr>
          <w:rFonts w:hint="eastAsia"/>
        </w:rPr>
        <w:t>2、离型纸尺寸：195±5mm*18mm。胶底尺寸：182mm±5mm*13mm，位置位于保密居中。</w:t>
      </w:r>
    </w:p>
    <w:p>
      <w:pPr>
        <w:spacing w:line="560" w:lineRule="exact"/>
        <w:jc w:val="left"/>
      </w:pPr>
      <w:r>
        <w:rPr>
          <w:rFonts w:hint="eastAsia"/>
        </w:rPr>
        <w:t>3、撕带宽度：2mm</w:t>
      </w:r>
    </w:p>
    <w:p>
      <w:pPr>
        <w:spacing w:line="560" w:lineRule="exact"/>
        <w:jc w:val="left"/>
      </w:pPr>
      <w:r>
        <w:rPr>
          <w:rFonts w:hint="eastAsia"/>
        </w:rPr>
        <w:t>4、保密折线：折第二道线</w:t>
      </w:r>
    </w:p>
    <w:p>
      <w:pPr>
        <w:spacing w:line="560" w:lineRule="exact"/>
        <w:jc w:val="left"/>
      </w:pPr>
      <w:r>
        <w:rPr>
          <w:rFonts w:hint="eastAsia"/>
        </w:rPr>
        <w:t>5、中间胶条长度、宽度：290±2mm、2mm</w:t>
      </w:r>
    </w:p>
    <w:p>
      <w:pPr>
        <w:spacing w:line="560" w:lineRule="exact"/>
        <w:jc w:val="left"/>
      </w:pPr>
      <w:r>
        <w:rPr>
          <w:rFonts w:hint="eastAsia"/>
        </w:rPr>
        <w:t>6、可撕口宽度:规格2.5mm</w:t>
      </w:r>
    </w:p>
    <w:p>
      <w:pPr>
        <w:spacing w:line="560" w:lineRule="exact"/>
        <w:jc w:val="left"/>
      </w:pPr>
      <w:r>
        <w:rPr>
          <w:rFonts w:hint="eastAsia"/>
        </w:rPr>
        <w:t>7、保密舌头长宽尺寸：210mm*30mm±0.3mm（含可撕口）可撕口2.5mm</w:t>
      </w:r>
    </w:p>
    <w:p>
      <w:pPr>
        <w:spacing w:line="560" w:lineRule="exact"/>
        <w:jc w:val="left"/>
      </w:pPr>
      <w:r>
        <w:rPr>
          <w:rFonts w:hint="eastAsia"/>
        </w:rPr>
        <w:t>8、可撕口锯齿间距：3mm。</w:t>
      </w:r>
    </w:p>
    <w:p>
      <w:pPr>
        <w:spacing w:line="560" w:lineRule="exact"/>
        <w:jc w:val="left"/>
      </w:pPr>
      <w:r>
        <w:rPr>
          <w:rFonts w:hint="eastAsia"/>
        </w:rPr>
        <w:t>9、纸张厚度尺寸：30s-32s</w:t>
      </w:r>
    </w:p>
    <w:p>
      <w:pPr>
        <w:widowControl/>
        <w:spacing w:line="560" w:lineRule="exact"/>
        <w:jc w:val="left"/>
        <w:rPr>
          <w:rFonts w:hint="eastAsia"/>
        </w:rPr>
      </w:pPr>
      <w:r>
        <w:rPr>
          <w:rFonts w:hint="eastAsia"/>
        </w:rPr>
        <w:t>10、色差范围：±10%，1、标准成品正面尺寸：212*297.5mm±0.5mm。平铺尺寸：（424mm +规格尺寸）*297.5mm。</w:t>
      </w:r>
    </w:p>
    <w:p>
      <w:pPr>
        <w:widowControl/>
        <w:spacing w:line="560" w:lineRule="exact"/>
        <w:jc w:val="left"/>
        <w:rPr>
          <w:rFonts w:hint="eastAsia" w:eastAsia="宋体"/>
          <w:lang w:val="en-US" w:eastAsia="zh-CN"/>
        </w:rPr>
      </w:pPr>
      <w:r>
        <w:rPr>
          <w:rFonts w:hint="eastAsia"/>
          <w:color w:val="FF0000"/>
          <w:lang w:val="en-US" w:eastAsia="zh-CN"/>
        </w:rPr>
        <w:t xml:space="preserve">注：请各位投标供应商来投标时带1-2个体检报告封面的样品到现场审核。 </w:t>
      </w:r>
      <w:r>
        <w:rPr>
          <w:rFonts w:hint="eastAsia"/>
          <w:lang w:val="en-US" w:eastAsia="zh-CN"/>
        </w:rPr>
        <w:t xml:space="preserve"> </w:t>
      </w:r>
    </w:p>
    <w:p/>
    <w:p>
      <w:pPr>
        <w:widowControl/>
        <w:jc w:val="left"/>
      </w:pPr>
      <w:r>
        <w:br w:type="page"/>
      </w:r>
    </w:p>
    <w:p/>
    <w:p>
      <w:pPr>
        <w:pStyle w:val="2"/>
        <w:spacing w:line="360" w:lineRule="auto"/>
        <w:jc w:val="center"/>
        <w:rPr>
          <w:rFonts w:ascii="方正小标宋_GBK" w:hAnsi="宋体" w:eastAsia="方正小标宋_GBK"/>
          <w:b w:val="0"/>
          <w:sz w:val="36"/>
          <w:szCs w:val="30"/>
        </w:rPr>
      </w:pPr>
      <w:r>
        <w:rPr>
          <w:rFonts w:hint="eastAsia" w:ascii="方正小标宋_GBK" w:hAnsi="宋体" w:eastAsia="方正小标宋_GBK"/>
          <w:b w:val="0"/>
          <w:sz w:val="36"/>
          <w:szCs w:val="30"/>
        </w:rPr>
        <w:t xml:space="preserve">第三篇  </w:t>
      </w:r>
      <w:r>
        <w:rPr>
          <w:rFonts w:hint="eastAsia" w:ascii="方正小标宋_GBK" w:hAnsi="宋体" w:eastAsia="方正小标宋_GBK"/>
          <w:b w:val="0"/>
          <w:sz w:val="36"/>
          <w:szCs w:val="30"/>
          <w:lang w:val="en-US" w:eastAsia="zh-CN"/>
        </w:rPr>
        <w:t>谈判项目</w:t>
      </w:r>
      <w:r>
        <w:rPr>
          <w:rFonts w:hint="eastAsia" w:ascii="方正小标宋_GBK" w:hAnsi="宋体" w:eastAsia="方正小标宋_GBK"/>
          <w:b w:val="0"/>
          <w:sz w:val="36"/>
          <w:szCs w:val="30"/>
        </w:rPr>
        <w:t>商务需求</w:t>
      </w:r>
      <w:bookmarkEnd w:id="15"/>
    </w:p>
    <w:bookmarkEnd w:id="14"/>
    <w:p>
      <w:pPr>
        <w:pStyle w:val="2"/>
        <w:spacing w:line="500" w:lineRule="exact"/>
        <w:ind w:firstLine="482" w:firstLineChars="200"/>
        <w:rPr>
          <w:rFonts w:ascii="仿宋" w:hAnsi="仿宋" w:eastAsia="仿宋"/>
          <w:b/>
          <w:sz w:val="24"/>
          <w:szCs w:val="24"/>
        </w:rPr>
      </w:pPr>
      <w:bookmarkStart w:id="16" w:name="_Toc267320049"/>
      <w:bookmarkStart w:id="17" w:name="_Toc521403722"/>
      <w:bookmarkStart w:id="18" w:name="_Toc480201035"/>
      <w:r>
        <w:rPr>
          <w:rFonts w:hint="eastAsia" w:ascii="仿宋" w:hAnsi="仿宋" w:eastAsia="仿宋"/>
          <w:b/>
          <w:sz w:val="24"/>
          <w:szCs w:val="24"/>
        </w:rPr>
        <w:t>一、实施期限、交货地点及验收方式</w:t>
      </w:r>
      <w:bookmarkEnd w:id="16"/>
      <w:bookmarkEnd w:id="17"/>
    </w:p>
    <w:p>
      <w:pPr>
        <w:spacing w:line="600" w:lineRule="exact"/>
        <w:ind w:firstLine="480" w:firstLineChars="200"/>
        <w:jc w:val="left"/>
        <w:rPr>
          <w:rFonts w:ascii="仿宋" w:hAnsi="仿宋" w:eastAsia="仿宋" w:cs="宋体"/>
          <w:kern w:val="0"/>
          <w:sz w:val="24"/>
          <w:szCs w:val="24"/>
        </w:rPr>
      </w:pPr>
      <w:bookmarkStart w:id="19" w:name="_Toc521403723"/>
      <w:bookmarkStart w:id="20" w:name="_Toc267320050"/>
      <w:r>
        <w:rPr>
          <w:rFonts w:hint="eastAsia" w:ascii="仿宋" w:hAnsi="仿宋" w:eastAsia="仿宋" w:cs="宋体"/>
          <w:kern w:val="0"/>
          <w:sz w:val="24"/>
          <w:szCs w:val="24"/>
        </w:rPr>
        <w:t>（一）</w:t>
      </w:r>
      <w:r>
        <w:rPr>
          <w:rFonts w:hint="eastAsia" w:ascii="仿宋" w:hAnsi="仿宋" w:eastAsia="仿宋"/>
          <w:b/>
          <w:sz w:val="24"/>
          <w:szCs w:val="24"/>
        </w:rPr>
        <w:t>实施期限</w:t>
      </w:r>
      <w:r>
        <w:rPr>
          <w:rFonts w:hint="eastAsia" w:ascii="仿宋" w:hAnsi="仿宋" w:eastAsia="仿宋" w:cs="宋体"/>
          <w:kern w:val="0"/>
          <w:sz w:val="24"/>
          <w:szCs w:val="24"/>
        </w:rPr>
        <w:t>：本次采购实施期限为</w:t>
      </w:r>
      <w:r>
        <w:rPr>
          <w:rFonts w:hint="eastAsia" w:ascii="仿宋" w:hAnsi="仿宋" w:eastAsia="仿宋" w:cs="宋体"/>
          <w:kern w:val="0"/>
          <w:sz w:val="24"/>
          <w:szCs w:val="24"/>
          <w:u w:val="single"/>
        </w:rPr>
        <w:t xml:space="preserve">  2  </w:t>
      </w:r>
      <w:r>
        <w:rPr>
          <w:rFonts w:hint="eastAsia" w:ascii="仿宋" w:hAnsi="仿宋" w:eastAsia="仿宋" w:cs="宋体"/>
          <w:kern w:val="0"/>
          <w:sz w:val="24"/>
          <w:szCs w:val="24"/>
        </w:rPr>
        <w:t>年。</w:t>
      </w:r>
    </w:p>
    <w:p>
      <w:pPr>
        <w:spacing w:line="60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（二）交货地点:重庆市合川区人民医院指定地点。</w:t>
      </w:r>
    </w:p>
    <w:p>
      <w:pPr>
        <w:spacing w:line="60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（三）验收方式</w:t>
      </w:r>
    </w:p>
    <w:p>
      <w:pPr>
        <w:spacing w:line="60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1、货物到达现场后，中标人应在使用单位人员在场情况下当面开箱，共同清点、检查外观，作出开箱记录，双方签字确认。</w:t>
      </w:r>
    </w:p>
    <w:p>
      <w:pPr>
        <w:spacing w:line="60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2、中标人应保证货物到达采购人所在地完好无损，如有缺漏、损坏，由中标人负责调换、补齐或赔偿。</w:t>
      </w:r>
    </w:p>
    <w:p>
      <w:pPr>
        <w:spacing w:line="60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3、中标人应根据国家相关文件要求提供产品合格证明及批次检测报告的资料。</w:t>
      </w:r>
    </w:p>
    <w:p>
      <w:pPr>
        <w:spacing w:line="60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4、中标人提供的货物未达到采购招标文件规定要求，且对采购人造成损失的，由中标人承担一切责任，并赔偿所造成的损失。</w:t>
      </w:r>
    </w:p>
    <w:p>
      <w:pPr>
        <w:spacing w:line="60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5、采购人如需要制造商对中标人交付的产品（包括质量、技术参数等）进行确认的，制造商应予以配合，并出具书面意见。</w:t>
      </w:r>
    </w:p>
    <w:p>
      <w:pPr>
        <w:spacing w:line="60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6、产品包装材料归采购人所有。</w:t>
      </w:r>
    </w:p>
    <w:p>
      <w:pPr>
        <w:pStyle w:val="2"/>
        <w:spacing w:line="500" w:lineRule="exact"/>
        <w:ind w:firstLine="482" w:firstLineChars="200"/>
        <w:rPr>
          <w:rFonts w:ascii="仿宋" w:hAnsi="仿宋" w:eastAsia="仿宋"/>
          <w:b/>
          <w:sz w:val="24"/>
          <w:szCs w:val="24"/>
        </w:rPr>
      </w:pPr>
      <w:r>
        <w:rPr>
          <w:rFonts w:hint="eastAsia" w:ascii="仿宋" w:hAnsi="仿宋" w:eastAsia="仿宋"/>
          <w:b/>
          <w:sz w:val="24"/>
          <w:szCs w:val="24"/>
        </w:rPr>
        <w:t>二、报价要求</w:t>
      </w:r>
      <w:bookmarkEnd w:id="19"/>
    </w:p>
    <w:p>
      <w:pPr>
        <w:snapToGrid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次报价须为人民币报价，包含：货物、技术资料、货物的税费、运输费、保险费、包装费、装卸费、培训费与货物有关的供方应纳的税费、售后服务费以及有关的其他费用。因成交供应商自身原因造成漏报、少报皆由其自行承担责任，采购人不再补偿。</w:t>
      </w:r>
    </w:p>
    <w:p>
      <w:pPr>
        <w:pStyle w:val="2"/>
        <w:spacing w:line="500" w:lineRule="exact"/>
        <w:ind w:firstLine="482" w:firstLineChars="200"/>
        <w:rPr>
          <w:rFonts w:ascii="仿宋" w:hAnsi="仿宋" w:eastAsia="仿宋"/>
          <w:b/>
          <w:sz w:val="24"/>
          <w:szCs w:val="24"/>
        </w:rPr>
      </w:pPr>
      <w:bookmarkStart w:id="21" w:name="_Toc521403724"/>
      <w:r>
        <w:rPr>
          <w:rFonts w:hint="eastAsia" w:ascii="仿宋" w:hAnsi="仿宋" w:eastAsia="仿宋"/>
          <w:b/>
          <w:sz w:val="24"/>
          <w:szCs w:val="24"/>
        </w:rPr>
        <w:t>三、质量保证及售后服务</w:t>
      </w:r>
      <w:bookmarkEnd w:id="20"/>
      <w:bookmarkEnd w:id="21"/>
    </w:p>
    <w:p>
      <w:pPr>
        <w:pStyle w:val="8"/>
        <w:spacing w:line="420" w:lineRule="exact"/>
        <w:ind w:firstLine="480" w:firstLineChars="200"/>
        <w:rPr>
          <w:rFonts w:ascii="仿宋" w:hAnsi="仿宋" w:eastAsia="仿宋" w:cs="宋体"/>
          <w:kern w:val="0"/>
          <w:sz w:val="24"/>
          <w:szCs w:val="24"/>
        </w:rPr>
      </w:pPr>
      <w:bookmarkStart w:id="22" w:name="_Toc267320051"/>
      <w:r>
        <w:rPr>
          <w:rFonts w:hint="eastAsia" w:ascii="仿宋" w:hAnsi="仿宋" w:eastAsia="仿宋" w:cs="宋体"/>
          <w:kern w:val="0"/>
          <w:sz w:val="24"/>
          <w:szCs w:val="24"/>
        </w:rPr>
        <w:t>1.供货要求：中标人严格根据采购人需求供货，保证及时提供充足的货源。在得到采购人的送货通知</w:t>
      </w:r>
      <w:r>
        <w:rPr>
          <w:rFonts w:hint="eastAsia" w:ascii="仿宋" w:hAnsi="仿宋" w:eastAsia="仿宋" w:cs="宋体"/>
          <w:kern w:val="0"/>
          <w:sz w:val="24"/>
          <w:szCs w:val="24"/>
          <w:u w:val="single"/>
        </w:rPr>
        <w:t xml:space="preserve">   1周  </w:t>
      </w:r>
      <w:r>
        <w:rPr>
          <w:rFonts w:hint="eastAsia" w:ascii="仿宋" w:hAnsi="仿宋" w:eastAsia="仿宋" w:cs="宋体"/>
          <w:kern w:val="0"/>
          <w:sz w:val="24"/>
          <w:szCs w:val="24"/>
        </w:rPr>
        <w:t>之内将货物送到医院指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pPr>
        <w:pStyle w:val="8"/>
        <w:spacing w:line="42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2.产品的有效性：中标人须具备良好的储存及运输条件，并根据国家法律法规的规定以及行业标准等要求进行储存与运输；中标人所提供产品为有效期内的最新产品，若出现效期临近产品，中标人有义务无条件更换，保证产品在采购人使用时安全有效。</w:t>
      </w:r>
    </w:p>
    <w:p>
      <w:pPr>
        <w:spacing w:line="400" w:lineRule="exact"/>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3．产品质量保证：</w:t>
      </w:r>
    </w:p>
    <w:p>
      <w:pPr>
        <w:pStyle w:val="8"/>
        <w:spacing w:line="420" w:lineRule="exact"/>
        <w:ind w:firstLine="480" w:firstLineChars="200"/>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中标公司按相关法规提供公司及供货产品的相关有效合法的资格、资质等证明文件</w:t>
      </w:r>
      <w:r>
        <w:rPr>
          <w:rFonts w:hint="eastAsia" w:ascii="仿宋" w:hAnsi="仿宋" w:eastAsia="仿宋" w:cs="宋体"/>
          <w:kern w:val="0"/>
          <w:sz w:val="24"/>
          <w:szCs w:val="24"/>
          <w:lang w:eastAsia="zh-CN"/>
        </w:rPr>
        <w:t>。</w:t>
      </w:r>
    </w:p>
    <w:p>
      <w:pPr>
        <w:pStyle w:val="8"/>
        <w:spacing w:line="420" w:lineRule="exact"/>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中标公司保证所供货为全新产品,产品质量、功能、性能、安全、有效必须符合国家规范要求。</w:t>
      </w:r>
    </w:p>
    <w:p>
      <w:pPr>
        <w:pStyle w:val="8"/>
        <w:spacing w:line="420" w:lineRule="exact"/>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4. 中标人提供的产品和服务未达到采购文件要求，且对采购人造成损失的，由中标人承担责任。</w:t>
      </w:r>
    </w:p>
    <w:p>
      <w:pPr>
        <w:pStyle w:val="2"/>
        <w:spacing w:line="320" w:lineRule="exact"/>
        <w:ind w:firstLine="482" w:firstLineChars="200"/>
        <w:rPr>
          <w:rFonts w:hint="eastAsia" w:ascii="仿宋" w:hAnsi="仿宋" w:eastAsia="仿宋"/>
          <w:b/>
          <w:sz w:val="24"/>
          <w:szCs w:val="24"/>
          <w:lang w:val="en-US" w:eastAsia="zh-CN"/>
        </w:rPr>
      </w:pPr>
      <w:r>
        <w:rPr>
          <w:rFonts w:hint="eastAsia" w:ascii="仿宋" w:hAnsi="仿宋" w:eastAsia="仿宋"/>
          <w:b/>
          <w:sz w:val="24"/>
          <w:szCs w:val="24"/>
          <w:lang w:val="en-US" w:eastAsia="zh-CN"/>
        </w:rPr>
        <w:t>四、履约保证金</w:t>
      </w:r>
    </w:p>
    <w:p>
      <w:pPr>
        <w:pStyle w:val="8"/>
        <w:spacing w:line="420" w:lineRule="exact"/>
        <w:ind w:firstLine="480" w:firstLineChars="200"/>
        <w:rPr>
          <w:rFonts w:hint="eastAsia" w:ascii="仿宋" w:hAnsi="仿宋" w:eastAsia="仿宋" w:cs="宋体"/>
          <w:color w:val="FF0000"/>
          <w:kern w:val="0"/>
          <w:sz w:val="24"/>
          <w:szCs w:val="24"/>
          <w:lang w:val="en-US" w:eastAsia="zh-CN"/>
        </w:rPr>
      </w:pPr>
      <w:r>
        <w:rPr>
          <w:rFonts w:hint="eastAsia" w:ascii="仿宋" w:hAnsi="仿宋" w:eastAsia="仿宋" w:cs="宋体"/>
          <w:color w:val="FF0000"/>
          <w:kern w:val="0"/>
          <w:sz w:val="24"/>
          <w:szCs w:val="24"/>
          <w:lang w:val="en-US" w:eastAsia="zh-CN"/>
        </w:rPr>
        <w:t>中标供应商需在签订合同签缴纳履约保证金2000元，合同期满后无违约情况，一次性无息退还。</w:t>
      </w:r>
    </w:p>
    <w:p>
      <w:pPr>
        <w:pStyle w:val="2"/>
        <w:spacing w:line="320" w:lineRule="exact"/>
        <w:ind w:firstLine="482" w:firstLineChars="200"/>
        <w:rPr>
          <w:rFonts w:ascii="仿宋" w:hAnsi="仿宋" w:eastAsia="仿宋"/>
          <w:b/>
          <w:sz w:val="24"/>
          <w:szCs w:val="24"/>
        </w:rPr>
      </w:pPr>
      <w:bookmarkStart w:id="23" w:name="_Toc521403725"/>
      <w:r>
        <w:rPr>
          <w:rFonts w:hint="eastAsia" w:ascii="仿宋" w:hAnsi="仿宋" w:eastAsia="仿宋"/>
          <w:b/>
          <w:sz w:val="24"/>
          <w:szCs w:val="24"/>
          <w:lang w:val="en-US" w:eastAsia="zh-CN"/>
        </w:rPr>
        <w:t>五</w:t>
      </w:r>
      <w:r>
        <w:rPr>
          <w:rFonts w:hint="eastAsia" w:ascii="仿宋" w:hAnsi="仿宋" w:eastAsia="仿宋"/>
          <w:b/>
          <w:sz w:val="24"/>
          <w:szCs w:val="24"/>
        </w:rPr>
        <w:t>、结算方式</w:t>
      </w:r>
      <w:bookmarkEnd w:id="22"/>
      <w:bookmarkEnd w:id="23"/>
    </w:p>
    <w:p>
      <w:pPr>
        <w:snapToGrid w:val="0"/>
        <w:spacing w:line="320" w:lineRule="exact"/>
        <w:ind w:firstLine="480" w:firstLineChars="200"/>
        <w:rPr>
          <w:rFonts w:ascii="仿宋" w:hAnsi="仿宋" w:eastAsia="仿宋" w:cs="宋体"/>
          <w:kern w:val="0"/>
          <w:sz w:val="24"/>
          <w:szCs w:val="24"/>
        </w:rPr>
      </w:pPr>
      <w:bookmarkStart w:id="24" w:name="_Toc267320052"/>
      <w:bookmarkStart w:id="25" w:name="_Toc521403726"/>
      <w:r>
        <w:rPr>
          <w:rFonts w:hint="eastAsia" w:ascii="仿宋" w:hAnsi="仿宋" w:eastAsia="仿宋" w:cs="宋体"/>
          <w:kern w:val="0"/>
          <w:sz w:val="24"/>
          <w:szCs w:val="24"/>
        </w:rPr>
        <w:t>1.结算总价=实际结算单价*经采购人签证的使用数量</w:t>
      </w:r>
    </w:p>
    <w:p>
      <w:pPr>
        <w:spacing w:line="320" w:lineRule="exact"/>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2.</w:t>
      </w:r>
      <w:bookmarkStart w:id="26" w:name="_Toc6774"/>
      <w:r>
        <w:rPr>
          <w:rFonts w:hint="eastAsia" w:ascii="仿宋" w:hAnsi="仿宋" w:eastAsia="仿宋" w:cs="宋体"/>
          <w:kern w:val="0"/>
          <w:sz w:val="24"/>
          <w:szCs w:val="24"/>
        </w:rPr>
        <w:t>付款方式：</w:t>
      </w:r>
      <w:bookmarkEnd w:id="26"/>
      <w:r>
        <w:rPr>
          <w:rFonts w:hint="eastAsia" w:ascii="仿宋" w:hAnsi="仿宋" w:eastAsia="仿宋" w:cs="宋体"/>
          <w:kern w:val="0"/>
          <w:sz w:val="24"/>
          <w:szCs w:val="24"/>
        </w:rPr>
        <w:t>中标公司向院方出具签收或收货证明，双方确认结算结果无误的 3个月后，院方一周内一次性付清确认量的全部货款。</w:t>
      </w:r>
    </w:p>
    <w:p>
      <w:pPr>
        <w:pStyle w:val="2"/>
        <w:spacing w:line="320" w:lineRule="exact"/>
        <w:rPr>
          <w:rFonts w:ascii="仿宋" w:hAnsi="仿宋" w:eastAsia="仿宋"/>
          <w:b/>
          <w:sz w:val="24"/>
          <w:szCs w:val="24"/>
        </w:rPr>
      </w:pPr>
      <w:r>
        <w:rPr>
          <w:rFonts w:hint="eastAsia" w:ascii="仿宋" w:hAnsi="仿宋" w:eastAsia="仿宋"/>
          <w:b/>
          <w:sz w:val="24"/>
          <w:szCs w:val="24"/>
          <w:lang w:val="en-US" w:eastAsia="zh-CN"/>
        </w:rPr>
        <w:t xml:space="preserve">    六</w:t>
      </w:r>
      <w:r>
        <w:rPr>
          <w:rFonts w:hint="eastAsia" w:ascii="仿宋" w:hAnsi="仿宋" w:eastAsia="仿宋"/>
          <w:b/>
          <w:sz w:val="24"/>
          <w:szCs w:val="24"/>
        </w:rPr>
        <w:t>、知识产权</w:t>
      </w:r>
      <w:bookmarkEnd w:id="24"/>
      <w:bookmarkEnd w:id="25"/>
    </w:p>
    <w:p>
      <w:pPr>
        <w:snapToGrid w:val="0"/>
        <w:spacing w:line="32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pStyle w:val="2"/>
        <w:spacing w:line="400" w:lineRule="exact"/>
        <w:ind w:firstLine="482" w:firstLineChars="200"/>
        <w:rPr>
          <w:rFonts w:ascii="仿宋" w:hAnsi="仿宋" w:eastAsia="仿宋"/>
          <w:b/>
          <w:sz w:val="24"/>
          <w:szCs w:val="24"/>
        </w:rPr>
      </w:pPr>
      <w:bookmarkStart w:id="27" w:name="_Toc481507573"/>
      <w:bookmarkStart w:id="28" w:name="_Toc267320053"/>
      <w:bookmarkStart w:id="29" w:name="_Toc521403727"/>
      <w:r>
        <w:rPr>
          <w:rFonts w:hint="eastAsia" w:ascii="仿宋" w:hAnsi="仿宋" w:eastAsia="仿宋"/>
          <w:b/>
          <w:sz w:val="24"/>
          <w:szCs w:val="24"/>
          <w:lang w:val="en-US" w:eastAsia="zh-CN"/>
        </w:rPr>
        <w:t>七</w:t>
      </w:r>
      <w:r>
        <w:rPr>
          <w:rFonts w:hint="eastAsia" w:ascii="仿宋" w:hAnsi="仿宋" w:eastAsia="仿宋"/>
          <w:b/>
          <w:sz w:val="24"/>
          <w:szCs w:val="24"/>
        </w:rPr>
        <w:t>、培训</w:t>
      </w:r>
      <w:bookmarkEnd w:id="27"/>
      <w:bookmarkEnd w:id="28"/>
      <w:bookmarkEnd w:id="29"/>
    </w:p>
    <w:p>
      <w:pPr>
        <w:snapToGrid w:val="0"/>
        <w:spacing w:line="420" w:lineRule="exact"/>
        <w:ind w:firstLine="540"/>
        <w:rPr>
          <w:rFonts w:ascii="仿宋" w:hAnsi="仿宋" w:eastAsia="仿宋" w:cs="宋体"/>
          <w:kern w:val="0"/>
          <w:sz w:val="24"/>
          <w:szCs w:val="24"/>
        </w:rPr>
      </w:pPr>
      <w:bookmarkStart w:id="30" w:name="_Toc481507574"/>
      <w:bookmarkStart w:id="31" w:name="_Toc267320054"/>
      <w:bookmarkStart w:id="32" w:name="_Toc521403728"/>
      <w:r>
        <w:rPr>
          <w:rFonts w:hint="eastAsia" w:ascii="仿宋" w:hAnsi="仿宋" w:eastAsia="仿宋" w:cs="宋体"/>
          <w:kern w:val="0"/>
          <w:sz w:val="24"/>
          <w:szCs w:val="24"/>
        </w:rPr>
        <w:t>中标人对其提供产品的使用和操作应尽培训义务。中标人应提供对采购人的基本免费培训，使采购人使用人员能够正常操作。</w:t>
      </w:r>
    </w:p>
    <w:p>
      <w:pPr>
        <w:pStyle w:val="2"/>
        <w:spacing w:line="400" w:lineRule="exact"/>
        <w:ind w:firstLine="482" w:firstLineChars="200"/>
        <w:rPr>
          <w:rFonts w:ascii="仿宋" w:hAnsi="仿宋" w:eastAsia="仿宋"/>
          <w:b/>
          <w:sz w:val="24"/>
          <w:szCs w:val="24"/>
        </w:rPr>
      </w:pPr>
      <w:r>
        <w:rPr>
          <w:rFonts w:hint="eastAsia" w:ascii="仿宋" w:hAnsi="仿宋" w:eastAsia="仿宋"/>
          <w:b/>
          <w:sz w:val="24"/>
          <w:szCs w:val="24"/>
          <w:lang w:val="en-US" w:eastAsia="zh-CN"/>
        </w:rPr>
        <w:t>八</w:t>
      </w:r>
      <w:r>
        <w:rPr>
          <w:rFonts w:hint="eastAsia" w:ascii="仿宋" w:hAnsi="仿宋" w:eastAsia="仿宋"/>
          <w:b/>
          <w:sz w:val="24"/>
          <w:szCs w:val="24"/>
        </w:rPr>
        <w:t>、其他</w:t>
      </w:r>
      <w:bookmarkEnd w:id="30"/>
      <w:bookmarkEnd w:id="31"/>
      <w:bookmarkEnd w:id="32"/>
    </w:p>
    <w:p>
      <w:pPr>
        <w:snapToGrid w:val="0"/>
        <w:spacing w:line="6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（一）投标人必须在投标文件中对以上条款和服务承诺明确列出，承诺内容必须达到本篇及招标文件其他条款的要求。</w:t>
      </w:r>
    </w:p>
    <w:p>
      <w:pPr>
        <w:pStyle w:val="2"/>
        <w:spacing w:line="360" w:lineRule="auto"/>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（二）其他未尽事宜由供需双方在采购合同中详细约定。</w:t>
      </w:r>
    </w:p>
    <w:p>
      <w:pPr>
        <w:pStyle w:val="2"/>
        <w:spacing w:line="360" w:lineRule="auto"/>
        <w:rPr>
          <w:rFonts w:ascii="方正小标宋_GBK" w:hAnsi="宋体" w:eastAsia="方正小标宋_GBK"/>
          <w:b w:val="0"/>
          <w:sz w:val="36"/>
          <w:szCs w:val="30"/>
        </w:rPr>
      </w:pPr>
      <w:r>
        <w:rPr>
          <w:rFonts w:hint="eastAsia" w:ascii="仿宋" w:hAnsi="仿宋" w:eastAsia="仿宋" w:cs="宋体"/>
          <w:kern w:val="0"/>
          <w:sz w:val="24"/>
          <w:szCs w:val="24"/>
        </w:rPr>
        <w:br w:type="page"/>
      </w:r>
      <w:r>
        <w:rPr>
          <w:rFonts w:hint="eastAsia" w:ascii="方正小标宋_GBK" w:hAnsi="宋体" w:eastAsia="方正小标宋_GBK"/>
          <w:b w:val="0"/>
          <w:sz w:val="36"/>
          <w:szCs w:val="30"/>
        </w:rPr>
        <w:t>第四篇  谈判程序及方法、评审标准、无效响应和</w:t>
      </w:r>
      <w:r>
        <w:rPr>
          <w:rFonts w:hint="eastAsia" w:ascii="方正小标宋_GBK" w:eastAsia="方正小标宋_GBK"/>
          <w:b w:val="0"/>
          <w:sz w:val="36"/>
          <w:szCs w:val="36"/>
        </w:rPr>
        <w:t>采购终止</w:t>
      </w:r>
      <w:bookmarkEnd w:id="18"/>
    </w:p>
    <w:p>
      <w:pPr>
        <w:pStyle w:val="3"/>
        <w:spacing w:line="440" w:lineRule="exact"/>
        <w:rPr>
          <w:rFonts w:ascii="方正仿宋_GBK" w:hAnsi="宋体" w:eastAsia="方正仿宋_GBK"/>
          <w:szCs w:val="32"/>
        </w:rPr>
      </w:pPr>
      <w:bookmarkStart w:id="33" w:name="_Toc480201036"/>
      <w:r>
        <w:rPr>
          <w:rFonts w:hint="eastAsia" w:ascii="方正仿宋_GBK" w:hAnsi="宋体" w:eastAsia="方正仿宋_GBK"/>
          <w:szCs w:val="32"/>
        </w:rPr>
        <w:t>一、谈判程序及方法</w:t>
      </w:r>
      <w:bookmarkEnd w:id="33"/>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（一）谈判按竞争性谈判文件规定的时间和地点进行，供应商须有法定代表人或其授权代表参加并签到。</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（二）谈判小组对各供应商的资格条件、响应文件的有效性、完整性和响应程度进行审查。各供应商只有在完全符合要求的前提下，才能参与正式谈判。</w:t>
      </w:r>
    </w:p>
    <w:p>
      <w:pPr>
        <w:snapToGrid w:val="0"/>
        <w:spacing w:line="400" w:lineRule="exact"/>
        <w:ind w:firstLine="560" w:firstLineChars="200"/>
        <w:rPr>
          <w:rFonts w:ascii="方正仿宋_GBK" w:hAnsi="宋体" w:eastAsia="方正仿宋_GBK" w:cs="宋体"/>
          <w:kern w:val="0"/>
          <w:szCs w:val="28"/>
        </w:rPr>
      </w:pPr>
      <w:r>
        <w:rPr>
          <w:rFonts w:hint="eastAsia" w:ascii="方正仿宋_GBK" w:hAnsi="宋体" w:eastAsia="方正仿宋_GBK"/>
          <w:szCs w:val="28"/>
        </w:rPr>
        <w:t>1、</w:t>
      </w:r>
      <w:r>
        <w:rPr>
          <w:rFonts w:hint="eastAsia" w:ascii="方正仿宋_GBK" w:hAnsi="宋体" w:eastAsia="方正仿宋_GBK" w:cs="宋体"/>
          <w:kern w:val="0"/>
          <w:szCs w:val="28"/>
        </w:rPr>
        <w:t>资格性检查。依据法律法规和竞争性谈判文件的规定，对响应文件中的资格证明、谈判保证金等进行审查，以确定供应商是否具备谈判资格。资格性检查资料表如下：</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
        <w:gridCol w:w="4536"/>
        <w:gridCol w:w="3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spacing w:line="240" w:lineRule="exact"/>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4961" w:type="dxa"/>
            <w:gridSpan w:val="2"/>
            <w:vAlign w:val="center"/>
          </w:tcPr>
          <w:p>
            <w:pPr>
              <w:spacing w:line="240" w:lineRule="exact"/>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3991" w:type="dxa"/>
            <w:vAlign w:val="center"/>
          </w:tcPr>
          <w:p>
            <w:pPr>
              <w:spacing w:line="240" w:lineRule="exact"/>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restart"/>
            <w:vAlign w:val="center"/>
          </w:tcPr>
          <w:p>
            <w:pPr>
              <w:spacing w:line="240" w:lineRule="exact"/>
              <w:jc w:val="center"/>
              <w:rPr>
                <w:rFonts w:ascii="方正仿宋_GBK" w:hAnsi="仿宋" w:eastAsia="方正仿宋_GBK"/>
                <w:sz w:val="21"/>
                <w:szCs w:val="21"/>
              </w:rPr>
            </w:pPr>
            <w:r>
              <w:rPr>
                <w:rFonts w:hint="eastAsia" w:ascii="方正仿宋_GBK" w:hAnsi="仿宋" w:eastAsia="方正仿宋_GBK"/>
                <w:sz w:val="21"/>
                <w:szCs w:val="21"/>
              </w:rPr>
              <w:t>1</w:t>
            </w:r>
          </w:p>
        </w:tc>
        <w:tc>
          <w:tcPr>
            <w:tcW w:w="425" w:type="dxa"/>
            <w:vMerge w:val="restart"/>
            <w:vAlign w:val="center"/>
          </w:tcPr>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供</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应</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商</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基</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本</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资</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格</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条</w:t>
            </w:r>
          </w:p>
          <w:p>
            <w:pPr>
              <w:spacing w:line="240" w:lineRule="exact"/>
              <w:jc w:val="cente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件</w:t>
            </w:r>
          </w:p>
        </w:tc>
        <w:tc>
          <w:tcPr>
            <w:tcW w:w="4536"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3991"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供应商法人营业执照（副本）或事业单位法人证书（副本）或个体工商户营业执照或有效的自然人身份证明、组织机构代码证复印件（注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 xml:space="preserve">）； </w:t>
            </w:r>
          </w:p>
          <w:p>
            <w:pPr>
              <w:spacing w:line="240" w:lineRule="exact"/>
              <w:rPr>
                <w:rFonts w:ascii="方正仿宋_GBK" w:hAnsi="仿宋" w:eastAsia="方正仿宋_GBK"/>
                <w:sz w:val="21"/>
                <w:szCs w:val="21"/>
              </w:rPr>
            </w:pPr>
            <w:r>
              <w:rPr>
                <w:rFonts w:hint="eastAsia" w:ascii="方正仿宋_GBK" w:hAnsi="仿宋" w:eastAsia="方正仿宋_GBK"/>
                <w:sz w:val="21"/>
                <w:szCs w:val="21"/>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425" w:type="dxa"/>
            <w:vMerge w:val="continue"/>
            <w:vAlign w:val="center"/>
          </w:tcPr>
          <w:p>
            <w:pPr>
              <w:spacing w:line="240" w:lineRule="exact"/>
              <w:rPr>
                <w:rFonts w:ascii="方正仿宋_GBK" w:hAnsi="仿宋" w:eastAsia="方正仿宋_GBK" w:cs="仿宋_GB2312"/>
                <w:sz w:val="21"/>
                <w:szCs w:val="21"/>
                <w:lang w:val="zh-CN"/>
              </w:rPr>
            </w:pPr>
          </w:p>
        </w:tc>
        <w:tc>
          <w:tcPr>
            <w:tcW w:w="4536" w:type="dxa"/>
            <w:vAlign w:val="center"/>
          </w:tcPr>
          <w:p>
            <w:pPr>
              <w:spacing w:line="240" w:lineRule="exact"/>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3991"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提供2019年度或2020年度财务状况报告（表）复印件，本年度新成立的公司提供提交响应文件截止时间前一个月的财务状况报告（表）复印件（新成立公司不足一个月的除外）。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425" w:type="dxa"/>
            <w:vMerge w:val="continue"/>
            <w:vAlign w:val="center"/>
          </w:tcPr>
          <w:p>
            <w:pPr>
              <w:spacing w:line="240" w:lineRule="exact"/>
              <w:rPr>
                <w:rFonts w:ascii="方正仿宋_GBK" w:hAnsi="仿宋" w:eastAsia="方正仿宋_GBK" w:cs="仿宋_GB2312"/>
                <w:sz w:val="21"/>
                <w:szCs w:val="21"/>
                <w:lang w:val="zh-CN"/>
              </w:rPr>
            </w:pPr>
          </w:p>
        </w:tc>
        <w:tc>
          <w:tcPr>
            <w:tcW w:w="4536" w:type="dxa"/>
            <w:vAlign w:val="center"/>
          </w:tcPr>
          <w:p>
            <w:pPr>
              <w:spacing w:line="240" w:lineRule="exact"/>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3991"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425" w:type="dxa"/>
            <w:vMerge w:val="continue"/>
            <w:vAlign w:val="center"/>
          </w:tcPr>
          <w:p>
            <w:pPr>
              <w:spacing w:line="240" w:lineRule="exact"/>
              <w:rPr>
                <w:rFonts w:ascii="方正仿宋_GBK" w:hAnsi="仿宋" w:eastAsia="方正仿宋_GBK" w:cs="仿宋_GB2312"/>
                <w:sz w:val="21"/>
                <w:szCs w:val="21"/>
                <w:lang w:val="zh-CN"/>
              </w:rPr>
            </w:pPr>
          </w:p>
        </w:tc>
        <w:tc>
          <w:tcPr>
            <w:tcW w:w="4536" w:type="dxa"/>
            <w:vAlign w:val="center"/>
          </w:tcPr>
          <w:p>
            <w:pPr>
              <w:spacing w:line="240" w:lineRule="exact"/>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3991"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1.税务登记证（副本）复印件（注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p>
            <w:pPr>
              <w:spacing w:line="240" w:lineRule="exact"/>
              <w:rPr>
                <w:rFonts w:ascii="方正仿宋_GBK" w:hAnsi="仿宋" w:eastAsia="方正仿宋_GBK"/>
                <w:sz w:val="21"/>
                <w:szCs w:val="21"/>
              </w:rPr>
            </w:pPr>
            <w:r>
              <w:rPr>
                <w:rFonts w:hint="eastAsia" w:ascii="方正仿宋_GBK" w:hAnsi="仿宋" w:eastAsia="方正仿宋_GBK"/>
                <w:sz w:val="21"/>
                <w:szCs w:val="21"/>
              </w:rPr>
              <w:t>2.缴纳社会保障金的证明材料复印件（缴纳社会保障金的证明材料指：社会保险登记证（注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）或缴纳社会保险的凭据（专用收据或社会保险缴纳清单）。依法免税或不需要缴纳社会保障资金的供应商，应提供相应文件证明其依法免税或不需要缴纳社会保障资金</w:t>
            </w:r>
            <w:r>
              <w:rPr>
                <w:rFonts w:ascii="方正仿宋_GBK" w:hAnsi="仿宋" w:eastAsia="方正仿宋_GBK"/>
                <w:sz w:val="21"/>
                <w:szCs w:val="21"/>
              </w:rPr>
              <w:t>）</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425" w:type="dxa"/>
            <w:vMerge w:val="continue"/>
            <w:vAlign w:val="center"/>
          </w:tcPr>
          <w:p>
            <w:pPr>
              <w:spacing w:line="240" w:lineRule="exact"/>
              <w:rPr>
                <w:rFonts w:ascii="方正仿宋_GBK" w:hAnsi="仿宋" w:eastAsia="方正仿宋_GBK" w:cs="仿宋_GB2312"/>
                <w:sz w:val="21"/>
                <w:szCs w:val="21"/>
                <w:lang w:val="zh-CN"/>
              </w:rPr>
            </w:pPr>
          </w:p>
        </w:tc>
        <w:tc>
          <w:tcPr>
            <w:tcW w:w="4536" w:type="dxa"/>
            <w:vAlign w:val="center"/>
          </w:tcPr>
          <w:p>
            <w:pPr>
              <w:spacing w:line="240" w:lineRule="exact"/>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3991" w:type="dxa"/>
            <w:vAlign w:val="center"/>
          </w:tcPr>
          <w:p>
            <w:pPr>
              <w:spacing w:line="240" w:lineRule="exact"/>
              <w:rPr>
                <w:rFonts w:ascii="方正仿宋_GBK" w:hAnsi="仿宋" w:eastAsia="方正仿宋_GBK"/>
                <w:b/>
                <w:sz w:val="21"/>
                <w:szCs w:val="21"/>
              </w:rPr>
            </w:pPr>
            <w:r>
              <w:rPr>
                <w:rFonts w:hint="eastAsia" w:ascii="方正仿宋_GBK" w:hAnsi="仿宋" w:eastAsia="方正仿宋_GBK"/>
                <w:b/>
                <w:sz w:val="21"/>
                <w:szCs w:val="21"/>
              </w:rPr>
              <w:t>1.供应商提供书面声明（见格式文件）；</w:t>
            </w:r>
          </w:p>
          <w:p>
            <w:pPr>
              <w:spacing w:line="240" w:lineRule="exact"/>
              <w:rPr>
                <w:rFonts w:ascii="方正仿宋_GBK" w:hAnsi="仿宋" w:eastAsia="方正仿宋_GBK"/>
                <w:b/>
                <w:sz w:val="21"/>
                <w:szCs w:val="21"/>
              </w:rPr>
            </w:pPr>
            <w:r>
              <w:rPr>
                <w:rFonts w:hint="eastAsia" w:ascii="方正仿宋_GBK" w:hAnsi="仿宋" w:eastAsia="方正仿宋_GBK"/>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676" w:type="dxa"/>
            <w:vMerge w:val="continue"/>
            <w:vAlign w:val="center"/>
          </w:tcPr>
          <w:p>
            <w:pPr>
              <w:spacing w:line="240" w:lineRule="exact"/>
              <w:jc w:val="center"/>
              <w:rPr>
                <w:rFonts w:ascii="方正仿宋_GBK" w:hAnsi="仿宋" w:eastAsia="方正仿宋_GBK"/>
                <w:sz w:val="21"/>
                <w:szCs w:val="21"/>
              </w:rPr>
            </w:pPr>
          </w:p>
        </w:tc>
        <w:tc>
          <w:tcPr>
            <w:tcW w:w="425" w:type="dxa"/>
            <w:vMerge w:val="continue"/>
            <w:vAlign w:val="center"/>
          </w:tcPr>
          <w:p>
            <w:pPr>
              <w:spacing w:line="240" w:lineRule="exact"/>
              <w:rPr>
                <w:rFonts w:ascii="方正仿宋_GBK" w:hAnsi="仿宋" w:eastAsia="方正仿宋_GBK" w:cs="仿宋_GB2312"/>
                <w:sz w:val="21"/>
                <w:szCs w:val="21"/>
              </w:rPr>
            </w:pPr>
          </w:p>
        </w:tc>
        <w:tc>
          <w:tcPr>
            <w:tcW w:w="4536"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3991" w:type="dxa"/>
            <w:vAlign w:val="center"/>
          </w:tcPr>
          <w:p>
            <w:pPr>
              <w:spacing w:line="240" w:lineRule="exact"/>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spacing w:line="240" w:lineRule="exact"/>
              <w:jc w:val="center"/>
              <w:rPr>
                <w:rFonts w:ascii="方正仿宋_GBK" w:hAnsi="仿宋" w:eastAsia="方正仿宋_GBK"/>
                <w:sz w:val="21"/>
                <w:szCs w:val="21"/>
              </w:rPr>
            </w:pPr>
            <w:r>
              <w:rPr>
                <w:rFonts w:hint="eastAsia" w:ascii="方正仿宋_GBK" w:hAnsi="仿宋" w:eastAsia="方正仿宋_GBK"/>
                <w:sz w:val="21"/>
                <w:szCs w:val="21"/>
              </w:rPr>
              <w:t>2</w:t>
            </w:r>
          </w:p>
        </w:tc>
        <w:tc>
          <w:tcPr>
            <w:tcW w:w="4961" w:type="dxa"/>
            <w:gridSpan w:val="2"/>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特定资格条件</w:t>
            </w:r>
          </w:p>
        </w:tc>
        <w:tc>
          <w:tcPr>
            <w:tcW w:w="3991"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按第一篇“三、供应商资格要求（二）特定资格条件”的要求提交</w:t>
            </w:r>
          </w:p>
        </w:tc>
      </w:tr>
    </w:tbl>
    <w:p>
      <w:pPr>
        <w:snapToGrid w:val="0"/>
        <w:spacing w:line="400" w:lineRule="exact"/>
        <w:rPr>
          <w:rFonts w:ascii="方正仿宋_GBK" w:hAnsi="宋体" w:eastAsia="方正仿宋_GBK" w:cs="宋体"/>
          <w:kern w:val="0"/>
          <w:szCs w:val="28"/>
        </w:rPr>
      </w:pPr>
      <w:r>
        <w:rPr>
          <w:rFonts w:hint="eastAsia" w:ascii="方正仿宋_GBK" w:hAnsi="宋体" w:eastAsia="方正仿宋_GBK" w:cs="宋体"/>
          <w:kern w:val="0"/>
          <w:szCs w:val="28"/>
        </w:rPr>
        <w:t>注：本项目不接受联合体参与投标。</w:t>
      </w:r>
    </w:p>
    <w:p>
      <w:pPr>
        <w:snapToGrid w:val="0"/>
        <w:spacing w:line="400" w:lineRule="exact"/>
        <w:ind w:firstLine="560" w:firstLineChars="200"/>
        <w:rPr>
          <w:rFonts w:ascii="方正仿宋_GBK" w:eastAsia="方正仿宋_GBK"/>
          <w:kern w:val="0"/>
          <w:szCs w:val="28"/>
        </w:rPr>
      </w:pPr>
      <w:r>
        <w:rPr>
          <w:rFonts w:hint="eastAsia" w:ascii="方正仿宋_GBK" w:hAnsi="宋体" w:eastAsia="方正仿宋_GBK" w:cs="宋体"/>
          <w:kern w:val="0"/>
          <w:szCs w:val="28"/>
        </w:rPr>
        <w:t>2、符合性检查。依据竞争性谈判文件的规定，从响应文件的有效性、完整性和对竞争性谈判文件的响应程度进行审查，以确定是否对竞争性谈判文件的实质性要求作出响应。</w:t>
      </w:r>
      <w:r>
        <w:rPr>
          <w:rFonts w:hint="eastAsia" w:ascii="方正仿宋_GBK" w:eastAsia="方正仿宋_GBK"/>
          <w:kern w:val="0"/>
          <w:szCs w:val="28"/>
        </w:rPr>
        <w:t>符合性检查资料表如下：</w:t>
      </w:r>
    </w:p>
    <w:tbl>
      <w:tblPr>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1984"/>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10" w:type="dxa"/>
            <w:vAlign w:val="center"/>
          </w:tcPr>
          <w:p>
            <w:pPr>
              <w:spacing w:line="400" w:lineRule="exact"/>
              <w:jc w:val="center"/>
              <w:rPr>
                <w:rFonts w:ascii="方正仿宋_GBK" w:hAnsi="宋体" w:eastAsia="方正仿宋_GBK" w:cs="宋体"/>
                <w:b/>
                <w:kern w:val="0"/>
                <w:szCs w:val="28"/>
              </w:rPr>
            </w:pPr>
            <w:r>
              <w:rPr>
                <w:rFonts w:hint="eastAsia" w:ascii="方正仿宋_GBK" w:hAnsi="宋体" w:eastAsia="方正仿宋_GBK" w:cs="宋体"/>
                <w:b/>
                <w:kern w:val="0"/>
                <w:szCs w:val="28"/>
              </w:rPr>
              <w:t>序号</w:t>
            </w:r>
          </w:p>
        </w:tc>
        <w:tc>
          <w:tcPr>
            <w:tcW w:w="3685" w:type="dxa"/>
            <w:gridSpan w:val="2"/>
            <w:vAlign w:val="center"/>
          </w:tcPr>
          <w:p>
            <w:pPr>
              <w:spacing w:line="400" w:lineRule="exact"/>
              <w:jc w:val="center"/>
              <w:rPr>
                <w:rFonts w:ascii="方正仿宋_GBK" w:hAnsi="宋体" w:eastAsia="方正仿宋_GBK" w:cs="宋体"/>
                <w:b/>
                <w:kern w:val="0"/>
                <w:szCs w:val="28"/>
              </w:rPr>
            </w:pPr>
            <w:r>
              <w:rPr>
                <w:rFonts w:hint="eastAsia" w:ascii="方正仿宋_GBK" w:hAnsi="宋体" w:eastAsia="方正仿宋_GBK" w:cs="宋体"/>
                <w:b/>
                <w:kern w:val="0"/>
                <w:szCs w:val="28"/>
              </w:rPr>
              <w:t>评审因素</w:t>
            </w:r>
          </w:p>
        </w:tc>
        <w:tc>
          <w:tcPr>
            <w:tcW w:w="5670" w:type="dxa"/>
            <w:vAlign w:val="center"/>
          </w:tcPr>
          <w:p>
            <w:pPr>
              <w:spacing w:line="400" w:lineRule="exact"/>
              <w:jc w:val="center"/>
              <w:rPr>
                <w:rFonts w:ascii="方正仿宋_GBK" w:hAnsi="宋体" w:eastAsia="方正仿宋_GBK" w:cs="宋体"/>
                <w:b/>
                <w:kern w:val="0"/>
                <w:szCs w:val="28"/>
              </w:rPr>
            </w:pPr>
            <w:r>
              <w:rPr>
                <w:rFonts w:hint="eastAsia" w:ascii="方正仿宋_GBK" w:hAnsi="宋体" w:eastAsia="方正仿宋_GBK" w:cs="宋体"/>
                <w:b/>
                <w:kern w:val="0"/>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10" w:type="dxa"/>
            <w:vMerge w:val="restart"/>
            <w:vAlign w:val="center"/>
          </w:tcPr>
          <w:p>
            <w:pPr>
              <w:spacing w:line="400" w:lineRule="exact"/>
              <w:jc w:val="center"/>
              <w:rPr>
                <w:rFonts w:ascii="方正仿宋_GBK" w:hAnsi="宋体" w:eastAsia="方正仿宋_GBK" w:cs="宋体"/>
                <w:kern w:val="0"/>
                <w:szCs w:val="28"/>
              </w:rPr>
            </w:pPr>
            <w:r>
              <w:rPr>
                <w:rFonts w:hint="eastAsia" w:ascii="方正仿宋_GBK" w:hAnsi="宋体" w:eastAsia="方正仿宋_GBK" w:cs="宋体"/>
                <w:kern w:val="0"/>
                <w:szCs w:val="28"/>
              </w:rPr>
              <w:t>1</w:t>
            </w:r>
          </w:p>
        </w:tc>
        <w:tc>
          <w:tcPr>
            <w:tcW w:w="1701" w:type="dxa"/>
            <w:vMerge w:val="restart"/>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cs="宋体"/>
                <w:kern w:val="0"/>
                <w:szCs w:val="28"/>
              </w:rPr>
              <w:t>有效性审查</w:t>
            </w:r>
          </w:p>
        </w:tc>
        <w:tc>
          <w:tcPr>
            <w:tcW w:w="1984" w:type="dxa"/>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szCs w:val="28"/>
              </w:rPr>
              <w:t>响应文件签署</w:t>
            </w:r>
          </w:p>
        </w:tc>
        <w:tc>
          <w:tcPr>
            <w:tcW w:w="5670" w:type="dxa"/>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szCs w:val="28"/>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710" w:type="dxa"/>
            <w:vMerge w:val="continue"/>
            <w:vAlign w:val="center"/>
          </w:tcPr>
          <w:p>
            <w:pPr>
              <w:spacing w:line="400" w:lineRule="exact"/>
              <w:jc w:val="center"/>
              <w:rPr>
                <w:rFonts w:ascii="方正仿宋_GBK" w:hAnsi="宋体" w:eastAsia="方正仿宋_GBK" w:cs="宋体"/>
                <w:kern w:val="0"/>
                <w:szCs w:val="28"/>
              </w:rPr>
            </w:pPr>
          </w:p>
        </w:tc>
        <w:tc>
          <w:tcPr>
            <w:tcW w:w="1701" w:type="dxa"/>
            <w:vMerge w:val="continue"/>
            <w:vAlign w:val="center"/>
          </w:tcPr>
          <w:p>
            <w:pPr>
              <w:spacing w:line="400" w:lineRule="exact"/>
              <w:rPr>
                <w:rFonts w:ascii="方正仿宋_GBK" w:hAnsi="宋体" w:eastAsia="方正仿宋_GBK" w:cs="宋体"/>
                <w:kern w:val="0"/>
                <w:szCs w:val="28"/>
              </w:rPr>
            </w:pPr>
          </w:p>
        </w:tc>
        <w:tc>
          <w:tcPr>
            <w:tcW w:w="1984" w:type="dxa"/>
            <w:vAlign w:val="center"/>
          </w:tcPr>
          <w:p>
            <w:pPr>
              <w:spacing w:line="400" w:lineRule="exact"/>
              <w:rPr>
                <w:rFonts w:ascii="方正仿宋_GBK" w:hAnsi="宋体" w:eastAsia="方正仿宋_GBK"/>
                <w:szCs w:val="28"/>
              </w:rPr>
            </w:pPr>
            <w:r>
              <w:rPr>
                <w:rFonts w:hint="eastAsia" w:ascii="方正仿宋_GBK" w:hAnsi="宋体" w:eastAsia="方正仿宋_GBK"/>
                <w:szCs w:val="28"/>
              </w:rPr>
              <w:t>法定代表人身份证明及授权委托书</w:t>
            </w:r>
          </w:p>
        </w:tc>
        <w:tc>
          <w:tcPr>
            <w:tcW w:w="5670" w:type="dxa"/>
            <w:vAlign w:val="center"/>
          </w:tcPr>
          <w:p>
            <w:pPr>
              <w:spacing w:line="400" w:lineRule="exact"/>
              <w:rPr>
                <w:rFonts w:ascii="方正仿宋_GBK" w:hAnsi="宋体" w:eastAsia="方正仿宋_GBK"/>
                <w:szCs w:val="28"/>
              </w:rPr>
            </w:pPr>
            <w:r>
              <w:rPr>
                <w:rFonts w:hint="eastAsia" w:ascii="方正仿宋_GBK" w:hAnsi="宋体" w:eastAsia="方正仿宋_GBK"/>
                <w:szCs w:val="28"/>
              </w:rPr>
              <w:t>法定代表人身份证明及授权委托书有效，符合竞争性谈判文件规定的格式，签字或盖章齐全。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10" w:type="dxa"/>
            <w:vMerge w:val="continue"/>
            <w:vAlign w:val="center"/>
          </w:tcPr>
          <w:p>
            <w:pPr>
              <w:spacing w:line="400" w:lineRule="exact"/>
              <w:jc w:val="center"/>
              <w:rPr>
                <w:rFonts w:ascii="方正仿宋_GBK" w:hAnsi="宋体" w:eastAsia="方正仿宋_GBK" w:cs="宋体"/>
                <w:kern w:val="0"/>
                <w:szCs w:val="28"/>
              </w:rPr>
            </w:pPr>
          </w:p>
        </w:tc>
        <w:tc>
          <w:tcPr>
            <w:tcW w:w="1701" w:type="dxa"/>
            <w:vMerge w:val="continue"/>
            <w:vAlign w:val="center"/>
          </w:tcPr>
          <w:p>
            <w:pPr>
              <w:spacing w:line="400" w:lineRule="exact"/>
              <w:rPr>
                <w:rFonts w:ascii="方正仿宋_GBK" w:hAnsi="宋体" w:eastAsia="方正仿宋_GBK" w:cs="宋体"/>
                <w:kern w:val="0"/>
                <w:szCs w:val="28"/>
              </w:rPr>
            </w:pPr>
          </w:p>
        </w:tc>
        <w:tc>
          <w:tcPr>
            <w:tcW w:w="1984" w:type="dxa"/>
            <w:vAlign w:val="center"/>
          </w:tcPr>
          <w:p>
            <w:pPr>
              <w:spacing w:line="400" w:lineRule="exact"/>
              <w:rPr>
                <w:rFonts w:ascii="方正仿宋_GBK" w:hAnsi="宋体" w:eastAsia="方正仿宋_GBK" w:cs="仿宋_GB2312"/>
                <w:szCs w:val="28"/>
                <w:lang w:val="zh-CN"/>
              </w:rPr>
            </w:pPr>
            <w:r>
              <w:rPr>
                <w:rFonts w:hint="eastAsia" w:ascii="方正仿宋_GBK" w:hAnsi="宋体" w:eastAsia="方正仿宋_GBK" w:cs="仿宋_GB2312"/>
                <w:szCs w:val="28"/>
              </w:rPr>
              <w:t>响应</w:t>
            </w:r>
            <w:r>
              <w:rPr>
                <w:rFonts w:hint="eastAsia" w:ascii="方正仿宋_GBK" w:hAnsi="宋体" w:eastAsia="方正仿宋_GBK" w:cs="仿宋_GB2312"/>
                <w:szCs w:val="28"/>
                <w:lang w:val="zh-CN"/>
              </w:rPr>
              <w:t>方案</w:t>
            </w:r>
          </w:p>
        </w:tc>
        <w:tc>
          <w:tcPr>
            <w:tcW w:w="5670" w:type="dxa"/>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cs="仿宋_GB2312"/>
                <w:szCs w:val="28"/>
                <w:lang w:val="zh-CN"/>
              </w:rPr>
              <w:t>每个分包只能有一个</w:t>
            </w:r>
            <w:r>
              <w:rPr>
                <w:rFonts w:hint="eastAsia" w:ascii="方正仿宋_GBK" w:hAnsi="宋体" w:eastAsia="方正仿宋_GBK" w:cs="仿宋_GB2312"/>
                <w:szCs w:val="28"/>
              </w:rPr>
              <w:t>响应</w:t>
            </w:r>
            <w:r>
              <w:rPr>
                <w:rFonts w:hint="eastAsia" w:ascii="方正仿宋_GBK" w:hAnsi="宋体" w:eastAsia="方正仿宋_GBK" w:cs="仿宋_GB2312"/>
                <w:szCs w:val="28"/>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10" w:type="dxa"/>
            <w:vMerge w:val="continue"/>
            <w:vAlign w:val="center"/>
          </w:tcPr>
          <w:p>
            <w:pPr>
              <w:spacing w:line="400" w:lineRule="exact"/>
              <w:jc w:val="center"/>
              <w:rPr>
                <w:rFonts w:ascii="方正仿宋_GBK" w:hAnsi="宋体" w:eastAsia="方正仿宋_GBK" w:cs="宋体"/>
                <w:kern w:val="0"/>
                <w:szCs w:val="28"/>
              </w:rPr>
            </w:pPr>
          </w:p>
        </w:tc>
        <w:tc>
          <w:tcPr>
            <w:tcW w:w="1701" w:type="dxa"/>
            <w:vMerge w:val="continue"/>
            <w:vAlign w:val="center"/>
          </w:tcPr>
          <w:p>
            <w:pPr>
              <w:spacing w:line="400" w:lineRule="exact"/>
              <w:rPr>
                <w:rFonts w:ascii="方正仿宋_GBK" w:hAnsi="宋体" w:eastAsia="方正仿宋_GBK" w:cs="宋体"/>
                <w:kern w:val="0"/>
                <w:szCs w:val="28"/>
              </w:rPr>
            </w:pPr>
          </w:p>
        </w:tc>
        <w:tc>
          <w:tcPr>
            <w:tcW w:w="1984" w:type="dxa"/>
            <w:vAlign w:val="center"/>
          </w:tcPr>
          <w:p>
            <w:pPr>
              <w:spacing w:line="400" w:lineRule="exact"/>
              <w:rPr>
                <w:rFonts w:ascii="方正仿宋_GBK" w:hAnsi="宋体" w:eastAsia="方正仿宋_GBK" w:cs="仿宋_GB2312"/>
                <w:szCs w:val="28"/>
                <w:lang w:val="zh-CN"/>
              </w:rPr>
            </w:pPr>
            <w:r>
              <w:rPr>
                <w:rFonts w:hint="eastAsia" w:ascii="方正仿宋_GBK" w:hAnsi="宋体" w:eastAsia="方正仿宋_GBK"/>
                <w:szCs w:val="28"/>
              </w:rPr>
              <w:t>报价唯一</w:t>
            </w:r>
          </w:p>
        </w:tc>
        <w:tc>
          <w:tcPr>
            <w:tcW w:w="5670" w:type="dxa"/>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cs="仿宋_GB2312"/>
                <w:szCs w:val="28"/>
                <w:lang w:val="zh-CN"/>
              </w:rPr>
              <w:t>只能在采购预算范围内报价，</w:t>
            </w:r>
            <w:r>
              <w:rPr>
                <w:rFonts w:hint="eastAsia" w:ascii="方正仿宋_GBK" w:hAnsi="宋体" w:eastAsia="方正仿宋_GBK"/>
                <w:szCs w:val="28"/>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710" w:type="dxa"/>
            <w:vMerge w:val="restart"/>
            <w:vAlign w:val="center"/>
          </w:tcPr>
          <w:p>
            <w:pPr>
              <w:spacing w:line="400" w:lineRule="exact"/>
              <w:jc w:val="center"/>
              <w:rPr>
                <w:rFonts w:ascii="方正仿宋_GBK" w:hAnsi="宋体" w:eastAsia="方正仿宋_GBK" w:cs="宋体"/>
                <w:kern w:val="0"/>
                <w:szCs w:val="28"/>
              </w:rPr>
            </w:pPr>
            <w:r>
              <w:rPr>
                <w:rFonts w:hint="eastAsia" w:ascii="方正仿宋_GBK" w:hAnsi="宋体" w:eastAsia="方正仿宋_GBK" w:cs="宋体"/>
                <w:kern w:val="0"/>
                <w:szCs w:val="28"/>
              </w:rPr>
              <w:t>2</w:t>
            </w:r>
          </w:p>
        </w:tc>
        <w:tc>
          <w:tcPr>
            <w:tcW w:w="1701" w:type="dxa"/>
            <w:vMerge w:val="restart"/>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cs="宋体"/>
                <w:kern w:val="0"/>
                <w:szCs w:val="28"/>
              </w:rPr>
              <w:t>完整性审查</w:t>
            </w:r>
          </w:p>
        </w:tc>
        <w:tc>
          <w:tcPr>
            <w:tcW w:w="1984" w:type="dxa"/>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cs="仿宋_GB2312"/>
                <w:szCs w:val="28"/>
              </w:rPr>
              <w:t>响应</w:t>
            </w:r>
            <w:r>
              <w:rPr>
                <w:rFonts w:hint="eastAsia" w:ascii="方正仿宋_GBK" w:hAnsi="宋体" w:eastAsia="方正仿宋_GBK" w:cs="仿宋_GB2312"/>
                <w:szCs w:val="28"/>
                <w:lang w:val="zh-CN"/>
              </w:rPr>
              <w:t>文件份数</w:t>
            </w:r>
          </w:p>
        </w:tc>
        <w:tc>
          <w:tcPr>
            <w:tcW w:w="5670" w:type="dxa"/>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cs="仿宋_GB2312"/>
                <w:szCs w:val="28"/>
              </w:rPr>
              <w:t>响应</w:t>
            </w:r>
            <w:r>
              <w:rPr>
                <w:rFonts w:hint="eastAsia" w:ascii="方正仿宋_GBK" w:hAnsi="宋体" w:eastAsia="方正仿宋_GBK" w:cs="仿宋_GB2312"/>
                <w:szCs w:val="28"/>
                <w:lang w:val="zh-CN"/>
              </w:rPr>
              <w:t>文件正、副本数量符合</w:t>
            </w:r>
            <w:r>
              <w:rPr>
                <w:rFonts w:hint="eastAsia" w:ascii="方正仿宋_GBK" w:hAnsi="宋体" w:eastAsia="方正仿宋_GBK" w:cs="仿宋_GB2312"/>
                <w:szCs w:val="28"/>
              </w:rPr>
              <w:t>竞争性谈判</w:t>
            </w:r>
            <w:r>
              <w:rPr>
                <w:rFonts w:hint="eastAsia" w:ascii="方正仿宋_GBK" w:hAnsi="宋体" w:eastAsia="方正仿宋_GBK" w:cs="仿宋_GB2312"/>
                <w:szCs w:val="28"/>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710" w:type="dxa"/>
            <w:vMerge w:val="continue"/>
            <w:vAlign w:val="center"/>
          </w:tcPr>
          <w:p>
            <w:pPr>
              <w:spacing w:line="400" w:lineRule="exact"/>
              <w:jc w:val="center"/>
              <w:rPr>
                <w:rFonts w:ascii="方正仿宋_GBK" w:hAnsi="宋体" w:eastAsia="方正仿宋_GBK" w:cs="宋体"/>
                <w:kern w:val="0"/>
                <w:szCs w:val="28"/>
              </w:rPr>
            </w:pPr>
          </w:p>
        </w:tc>
        <w:tc>
          <w:tcPr>
            <w:tcW w:w="1701" w:type="dxa"/>
            <w:vMerge w:val="continue"/>
            <w:vAlign w:val="center"/>
          </w:tcPr>
          <w:p>
            <w:pPr>
              <w:spacing w:line="400" w:lineRule="exact"/>
              <w:rPr>
                <w:rFonts w:ascii="方正仿宋_GBK" w:hAnsi="宋体" w:eastAsia="方正仿宋_GBK" w:cs="宋体"/>
                <w:kern w:val="0"/>
                <w:szCs w:val="28"/>
              </w:rPr>
            </w:pPr>
          </w:p>
        </w:tc>
        <w:tc>
          <w:tcPr>
            <w:tcW w:w="1984" w:type="dxa"/>
            <w:vAlign w:val="center"/>
          </w:tcPr>
          <w:p>
            <w:pPr>
              <w:spacing w:line="400" w:lineRule="exact"/>
              <w:rPr>
                <w:rFonts w:ascii="方正仿宋_GBK" w:hAnsi="宋体" w:eastAsia="方正仿宋_GBK" w:cs="仿宋_GB2312"/>
                <w:szCs w:val="28"/>
                <w:lang w:val="zh-CN"/>
              </w:rPr>
            </w:pPr>
            <w:r>
              <w:rPr>
                <w:rFonts w:hint="eastAsia" w:ascii="方正仿宋_GBK" w:hAnsi="宋体" w:eastAsia="方正仿宋_GBK" w:cs="仿宋_GB2312"/>
                <w:szCs w:val="28"/>
              </w:rPr>
              <w:t>响应</w:t>
            </w:r>
            <w:r>
              <w:rPr>
                <w:rFonts w:hint="eastAsia" w:ascii="方正仿宋_GBK" w:hAnsi="宋体" w:eastAsia="方正仿宋_GBK" w:cs="仿宋_GB2312"/>
                <w:szCs w:val="28"/>
                <w:lang w:val="zh-CN"/>
              </w:rPr>
              <w:t>文件内容</w:t>
            </w:r>
          </w:p>
        </w:tc>
        <w:tc>
          <w:tcPr>
            <w:tcW w:w="5670" w:type="dxa"/>
            <w:vAlign w:val="center"/>
          </w:tcPr>
          <w:p>
            <w:pPr>
              <w:spacing w:line="400" w:lineRule="exact"/>
              <w:rPr>
                <w:rFonts w:ascii="方正仿宋_GBK" w:hAnsi="宋体" w:eastAsia="方正仿宋_GBK" w:cs="仿宋_GB2312"/>
                <w:szCs w:val="28"/>
                <w:lang w:val="zh-CN"/>
              </w:rPr>
            </w:pPr>
            <w:r>
              <w:rPr>
                <w:rFonts w:hint="eastAsia" w:ascii="方正仿宋_GBK" w:hAnsi="宋体" w:eastAsia="方正仿宋_GBK" w:cs="仿宋_GB2312"/>
                <w:szCs w:val="28"/>
              </w:rPr>
              <w:t>响应</w:t>
            </w:r>
            <w:r>
              <w:rPr>
                <w:rFonts w:hint="eastAsia" w:ascii="方正仿宋_GBK" w:hAnsi="宋体" w:eastAsia="方正仿宋_GBK" w:cs="仿宋_GB2312"/>
                <w:szCs w:val="28"/>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710" w:type="dxa"/>
            <w:vMerge w:val="restart"/>
            <w:vAlign w:val="center"/>
          </w:tcPr>
          <w:p>
            <w:pPr>
              <w:spacing w:line="400" w:lineRule="exact"/>
              <w:jc w:val="center"/>
              <w:rPr>
                <w:rFonts w:ascii="方正仿宋_GBK" w:hAnsi="宋体" w:eastAsia="方正仿宋_GBK" w:cs="宋体"/>
                <w:kern w:val="0"/>
                <w:szCs w:val="28"/>
              </w:rPr>
            </w:pPr>
            <w:r>
              <w:rPr>
                <w:rFonts w:hint="eastAsia" w:ascii="方正仿宋_GBK" w:hAnsi="宋体" w:eastAsia="方正仿宋_GBK" w:cs="宋体"/>
                <w:kern w:val="0"/>
                <w:szCs w:val="28"/>
              </w:rPr>
              <w:t>3</w:t>
            </w:r>
          </w:p>
        </w:tc>
        <w:tc>
          <w:tcPr>
            <w:tcW w:w="1701" w:type="dxa"/>
            <w:vMerge w:val="restart"/>
            <w:vAlign w:val="center"/>
          </w:tcPr>
          <w:p>
            <w:pPr>
              <w:spacing w:line="400" w:lineRule="exact"/>
              <w:rPr>
                <w:rFonts w:ascii="方正仿宋_GBK" w:hAnsi="宋体" w:eastAsia="方正仿宋_GBK" w:cs="仿宋_GB2312"/>
                <w:szCs w:val="28"/>
                <w:lang w:val="zh-CN"/>
              </w:rPr>
            </w:pPr>
            <w:r>
              <w:rPr>
                <w:rFonts w:hint="eastAsia" w:ascii="方正仿宋_GBK" w:hAnsi="宋体" w:eastAsia="方正仿宋_GBK" w:cs="宋体"/>
                <w:kern w:val="0"/>
                <w:szCs w:val="28"/>
              </w:rPr>
              <w:t>竞争性谈判文件的响应程度审查</w:t>
            </w:r>
          </w:p>
        </w:tc>
        <w:tc>
          <w:tcPr>
            <w:tcW w:w="1984" w:type="dxa"/>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cs="宋体"/>
                <w:kern w:val="0"/>
                <w:szCs w:val="28"/>
              </w:rPr>
              <w:t>响应文件内容</w:t>
            </w:r>
          </w:p>
        </w:tc>
        <w:tc>
          <w:tcPr>
            <w:tcW w:w="5670" w:type="dxa"/>
            <w:vAlign w:val="center"/>
          </w:tcPr>
          <w:p>
            <w:pPr>
              <w:pStyle w:val="7"/>
              <w:spacing w:line="400" w:lineRule="exact"/>
              <w:rPr>
                <w:rFonts w:ascii="方正仿宋_GBK" w:hAnsi="宋体" w:eastAsia="方正仿宋_GBK" w:cs="宋体"/>
                <w:kern w:val="0"/>
                <w:szCs w:val="28"/>
              </w:rPr>
            </w:pPr>
            <w:r>
              <w:rPr>
                <w:rFonts w:hint="eastAsia" w:ascii="方正仿宋_GBK" w:hAnsi="宋体" w:eastAsia="方正仿宋_GBK" w:cs="宋体"/>
                <w:kern w:val="0"/>
                <w:szCs w:val="28"/>
              </w:rPr>
              <w:t>对竞争性谈判文件第三篇规定的谈判内容作出响应。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10" w:type="dxa"/>
            <w:vMerge w:val="continue"/>
            <w:vAlign w:val="center"/>
          </w:tcPr>
          <w:p>
            <w:pPr>
              <w:spacing w:line="400" w:lineRule="exact"/>
              <w:jc w:val="center"/>
              <w:rPr>
                <w:rFonts w:ascii="方正仿宋_GBK" w:hAnsi="宋体" w:eastAsia="方正仿宋_GBK" w:cs="宋体"/>
                <w:kern w:val="0"/>
                <w:szCs w:val="28"/>
              </w:rPr>
            </w:pPr>
          </w:p>
        </w:tc>
        <w:tc>
          <w:tcPr>
            <w:tcW w:w="1701" w:type="dxa"/>
            <w:vMerge w:val="continue"/>
            <w:vAlign w:val="center"/>
          </w:tcPr>
          <w:p>
            <w:pPr>
              <w:spacing w:line="400" w:lineRule="exact"/>
              <w:rPr>
                <w:rFonts w:ascii="方正仿宋_GBK" w:hAnsi="宋体" w:eastAsia="方正仿宋_GBK" w:cs="仿宋_GB2312"/>
                <w:szCs w:val="28"/>
                <w:lang w:val="zh-CN"/>
              </w:rPr>
            </w:pPr>
          </w:p>
        </w:tc>
        <w:tc>
          <w:tcPr>
            <w:tcW w:w="1984" w:type="dxa"/>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cs="宋体"/>
                <w:kern w:val="0"/>
                <w:szCs w:val="28"/>
              </w:rPr>
              <w:t>谈判有效期</w:t>
            </w:r>
          </w:p>
        </w:tc>
        <w:tc>
          <w:tcPr>
            <w:tcW w:w="5670" w:type="dxa"/>
            <w:vAlign w:val="center"/>
          </w:tcPr>
          <w:p>
            <w:pPr>
              <w:spacing w:line="400" w:lineRule="exact"/>
              <w:rPr>
                <w:rFonts w:ascii="方正仿宋_GBK" w:hAnsi="宋体" w:eastAsia="方正仿宋_GBK" w:cs="宋体"/>
                <w:kern w:val="0"/>
                <w:szCs w:val="28"/>
              </w:rPr>
            </w:pPr>
            <w:r>
              <w:rPr>
                <w:rFonts w:hint="eastAsia" w:ascii="方正仿宋_GBK" w:hAnsi="宋体" w:eastAsia="方正仿宋_GBK" w:cs="宋体"/>
                <w:kern w:val="0"/>
                <w:szCs w:val="28"/>
              </w:rPr>
              <w:t>满足谈判文件</w:t>
            </w:r>
            <w:r>
              <w:rPr>
                <w:rFonts w:hint="eastAsia" w:ascii="方正仿宋_GBK" w:hAnsi="宋体" w:eastAsia="方正仿宋_GBK" w:cs="仿宋_GB2312"/>
                <w:szCs w:val="28"/>
                <w:lang w:val="zh-CN"/>
              </w:rPr>
              <w:t>规定。</w:t>
            </w:r>
          </w:p>
        </w:tc>
      </w:tr>
    </w:tbl>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三）澄清有关问题。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（四）谈判小组要求供应商澄清、说明或者更正响应文件应当以书面形式作出。供应商的澄清、说明或者更正应当由法定代表人或其授权代表签字或者加盖公章。由授权代表签字的，应当附法定代表人授权书。</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（五）在谈判过程中谈判的任何一方不得向他人透露与谈判有关的技术资料、价格或其他信息。</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（六）供应商在谈判时作出的所有书面承诺须由法定代表人或其授权代表签字。</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七）经谈判确定最终采购需求且谈判结束后，供应商应当按照竞争性谈判文件的变动情况和谈判小组的要求重新提交响应文件或重新做出相关的书面承诺，最后书面提交最后报价及有关承诺（填写《最后报价表》并密封提交）。</w:t>
      </w:r>
      <w:r>
        <w:rPr>
          <w:rFonts w:ascii="方正仿宋_GBK" w:hAnsi="宋体" w:eastAsia="方正仿宋_GBK"/>
          <w:szCs w:val="28"/>
        </w:rPr>
        <w:t>已提交响应文件</w:t>
      </w:r>
      <w:r>
        <w:rPr>
          <w:rFonts w:hint="eastAsia" w:ascii="方正仿宋_GBK" w:hAnsi="宋体" w:eastAsia="方正仿宋_GBK"/>
          <w:szCs w:val="28"/>
        </w:rPr>
        <w:t>但未在规定时间内进行最后报价</w:t>
      </w:r>
      <w:r>
        <w:rPr>
          <w:rFonts w:ascii="方正仿宋_GBK" w:hAnsi="宋体" w:eastAsia="方正仿宋_GBK"/>
          <w:szCs w:val="28"/>
        </w:rPr>
        <w:t>的供应商，</w:t>
      </w:r>
      <w:r>
        <w:rPr>
          <w:rFonts w:hint="eastAsia" w:ascii="方正仿宋_GBK" w:hAnsi="宋体" w:eastAsia="方正仿宋_GBK"/>
          <w:szCs w:val="28"/>
        </w:rPr>
        <w:t>视为放弃最后报价，以供应商响应文件中的报价为准。</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（八）</w:t>
      </w:r>
      <w:bookmarkStart w:id="34" w:name="_Toc480201037"/>
      <w:r>
        <w:rPr>
          <w:rFonts w:hint="eastAsia" w:ascii="方正仿宋_GBK" w:hAnsi="宋体" w:eastAsia="方正仿宋_GBK"/>
          <w:szCs w:val="28"/>
        </w:rPr>
        <w:t>供应商在谈判时作出的所有书面承诺须由法定代表人或其授权代表签字。</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九）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pPr>
        <w:spacing w:line="400" w:lineRule="exact"/>
        <w:ind w:firstLine="562" w:firstLineChars="200"/>
        <w:rPr>
          <w:rFonts w:ascii="方正仿宋_GBK" w:eastAsia="方正仿宋_GBK"/>
          <w:b/>
          <w:color w:val="000000"/>
          <w:szCs w:val="28"/>
        </w:rPr>
      </w:pPr>
      <w:r>
        <w:rPr>
          <w:rFonts w:hint="eastAsia" w:ascii="方正仿宋_GBK" w:hAnsi="宋体" w:eastAsia="方正仿宋_GBK"/>
          <w:b/>
          <w:color w:val="000000"/>
          <w:szCs w:val="28"/>
        </w:rPr>
        <w:t>二、</w:t>
      </w:r>
      <w:bookmarkEnd w:id="34"/>
      <w:bookmarkStart w:id="35" w:name="_Toc102227320"/>
      <w:bookmarkStart w:id="36" w:name="_Toc342913394"/>
      <w:r>
        <w:rPr>
          <w:rFonts w:hint="eastAsia" w:ascii="方正仿宋_GBK" w:eastAsia="方正仿宋_GBK"/>
          <w:b/>
          <w:color w:val="000000"/>
          <w:szCs w:val="28"/>
        </w:rPr>
        <w:t>评审依据</w:t>
      </w:r>
    </w:p>
    <w:p>
      <w:pPr>
        <w:spacing w:line="400" w:lineRule="exact"/>
        <w:ind w:firstLine="560" w:firstLineChars="200"/>
        <w:rPr>
          <w:rFonts w:ascii="方正仿宋_GBK" w:eastAsia="方正仿宋_GBK"/>
          <w:color w:val="000000"/>
          <w:szCs w:val="28"/>
        </w:rPr>
      </w:pPr>
      <w:r>
        <w:rPr>
          <w:rFonts w:hint="eastAsia" w:ascii="方正仿宋_GBK" w:eastAsia="方正仿宋_GBK"/>
          <w:color w:val="000000"/>
          <w:szCs w:val="28"/>
        </w:rPr>
        <w:t>评审的依据为竞争性谈判文件和响应文件（含有效的补充文件）。谈判小组判断响应文件对竞争性谈判文件的响应，仅基于响应文件本身而不靠外部证据。</w:t>
      </w:r>
    </w:p>
    <w:p>
      <w:pPr>
        <w:spacing w:line="400" w:lineRule="exact"/>
        <w:ind w:firstLine="562" w:firstLineChars="200"/>
        <w:rPr>
          <w:rFonts w:ascii="方正仿宋_GBK" w:hAnsi="宋体" w:eastAsia="方正仿宋_GBK"/>
          <w:b/>
          <w:color w:val="000000"/>
          <w:szCs w:val="28"/>
        </w:rPr>
      </w:pPr>
      <w:r>
        <w:rPr>
          <w:rFonts w:hint="eastAsia" w:ascii="方正仿宋_GBK" w:hAnsi="宋体" w:eastAsia="方正仿宋_GBK"/>
          <w:b/>
          <w:color w:val="000000"/>
          <w:szCs w:val="28"/>
        </w:rPr>
        <w:t>三、成交原则</w:t>
      </w:r>
    </w:p>
    <w:p>
      <w:pPr>
        <w:spacing w:line="400" w:lineRule="exact"/>
        <w:ind w:firstLine="560" w:firstLineChars="200"/>
        <w:rPr>
          <w:rFonts w:ascii="方正仿宋_GBK" w:eastAsia="方正仿宋_GBK"/>
          <w:color w:val="000000"/>
          <w:szCs w:val="32"/>
        </w:rPr>
      </w:pPr>
      <w:r>
        <w:rPr>
          <w:rFonts w:hint="eastAsia" w:ascii="方正仿宋_GBK" w:eastAsia="方正仿宋_GBK"/>
          <w:color w:val="000000"/>
          <w:szCs w:val="32"/>
        </w:rPr>
        <w:t>（一）评审办法</w:t>
      </w:r>
    </w:p>
    <w:p>
      <w:pPr>
        <w:spacing w:line="400" w:lineRule="exact"/>
        <w:ind w:firstLine="560" w:firstLineChars="200"/>
        <w:rPr>
          <w:rFonts w:ascii="方正仿宋_GBK" w:eastAsia="方正仿宋_GBK"/>
          <w:color w:val="000000"/>
          <w:szCs w:val="32"/>
        </w:rPr>
      </w:pPr>
      <w:r>
        <w:rPr>
          <w:rFonts w:hint="eastAsia" w:ascii="方正仿宋_GBK" w:eastAsia="方正仿宋_GBK"/>
          <w:color w:val="000000"/>
          <w:szCs w:val="32"/>
        </w:rPr>
        <w:t>1.谈判小组将依照本竞争性谈判文件相关规定对质量和服务均能满足竞争性谈判实质性响应要求的供应商所提交的最后报价按照由低到高的顺序提出3名成交候选人。</w:t>
      </w:r>
    </w:p>
    <w:p>
      <w:pPr>
        <w:spacing w:line="400" w:lineRule="exact"/>
        <w:ind w:firstLine="560" w:firstLineChars="200"/>
        <w:rPr>
          <w:rFonts w:ascii="方正仿宋_GBK" w:eastAsia="方正仿宋_GBK"/>
          <w:color w:val="000000"/>
          <w:szCs w:val="32"/>
        </w:rPr>
      </w:pPr>
      <w:r>
        <w:rPr>
          <w:rFonts w:hint="eastAsia" w:ascii="方正仿宋_GBK" w:eastAsia="方正仿宋_GBK"/>
          <w:color w:val="000000"/>
          <w:szCs w:val="32"/>
        </w:rPr>
        <w:t>2.若供应商的最后报价价格相同，按技术参数（条款）的优劣顺序排列；以上都相同的，按服务条款的优劣顺序排列。</w:t>
      </w:r>
    </w:p>
    <w:p>
      <w:pPr>
        <w:spacing w:line="400" w:lineRule="exact"/>
        <w:ind w:firstLine="560" w:firstLineChars="200"/>
        <w:rPr>
          <w:rFonts w:hint="eastAsia" w:ascii="方正仿宋_GBK" w:eastAsia="方正仿宋_GBK"/>
          <w:color w:val="000000"/>
          <w:szCs w:val="32"/>
        </w:rPr>
      </w:pPr>
      <w:r>
        <w:rPr>
          <w:rFonts w:hint="eastAsia" w:ascii="方正仿宋_GBK" w:eastAsia="方正仿宋_GBK"/>
          <w:color w:val="000000"/>
          <w:szCs w:val="32"/>
        </w:rPr>
        <w:t>3.成交价格=成交供应商的最后报价</w:t>
      </w:r>
    </w:p>
    <w:p>
      <w:pPr>
        <w:spacing w:line="400" w:lineRule="exact"/>
        <w:ind w:firstLine="560" w:firstLineChars="200"/>
        <w:rPr>
          <w:rFonts w:hint="eastAsia" w:ascii="方正仿宋_GBK" w:eastAsia="方正仿宋_GBK"/>
          <w:color w:val="000000"/>
          <w:szCs w:val="32"/>
          <w:lang w:val="en-US" w:eastAsia="zh-CN"/>
        </w:rPr>
      </w:pPr>
      <w:r>
        <w:rPr>
          <w:rFonts w:hint="eastAsia" w:ascii="方正仿宋_GBK" w:eastAsia="方正仿宋_GBK"/>
          <w:color w:val="000000"/>
          <w:szCs w:val="32"/>
          <w:lang w:eastAsia="zh-CN"/>
        </w:rPr>
        <w:t>（</w:t>
      </w:r>
      <w:r>
        <w:rPr>
          <w:rFonts w:hint="eastAsia" w:ascii="方正仿宋_GBK" w:eastAsia="方正仿宋_GBK"/>
          <w:color w:val="000000"/>
          <w:szCs w:val="32"/>
          <w:lang w:val="en-US" w:eastAsia="zh-CN"/>
        </w:rPr>
        <w:t>二</w:t>
      </w:r>
      <w:r>
        <w:rPr>
          <w:rFonts w:hint="eastAsia" w:ascii="方正仿宋_GBK" w:eastAsia="方正仿宋_GBK"/>
          <w:color w:val="000000"/>
          <w:szCs w:val="32"/>
          <w:lang w:eastAsia="zh-CN"/>
        </w:rPr>
        <w:t>）</w:t>
      </w:r>
      <w:r>
        <w:rPr>
          <w:rFonts w:hint="eastAsia" w:ascii="方正仿宋_GBK" w:eastAsia="方正仿宋_GBK"/>
          <w:color w:val="000000"/>
          <w:szCs w:val="32"/>
          <w:lang w:val="en-US" w:eastAsia="zh-CN"/>
        </w:rPr>
        <w:t>关于政策性扣减</w:t>
      </w:r>
    </w:p>
    <w:p>
      <w:pPr>
        <w:spacing w:line="400" w:lineRule="exact"/>
        <w:ind w:firstLine="560" w:firstLineChars="200"/>
        <w:rPr>
          <w:rFonts w:hint="eastAsia" w:ascii="方正仿宋_GBK" w:eastAsia="方正仿宋_GBK"/>
          <w:color w:val="000000"/>
          <w:szCs w:val="32"/>
        </w:rPr>
      </w:pPr>
      <w:r>
        <w:rPr>
          <w:rFonts w:hint="eastAsia" w:ascii="方正仿宋_GBK" w:eastAsia="方正仿宋_GBK"/>
          <w:color w:val="000000"/>
          <w:szCs w:val="32"/>
        </w:rPr>
        <w:t>1.投标人为非联合体投标的，对小微型企业给予</w:t>
      </w:r>
      <w:r>
        <w:rPr>
          <w:rFonts w:hint="eastAsia" w:ascii="方正仿宋_GBK" w:eastAsia="方正仿宋_GBK"/>
          <w:color w:val="000000"/>
          <w:szCs w:val="32"/>
          <w:lang w:val="en-US" w:eastAsia="zh-CN"/>
        </w:rPr>
        <w:t xml:space="preserve">   6  </w:t>
      </w:r>
      <w:r>
        <w:rPr>
          <w:rFonts w:hint="eastAsia" w:ascii="方正仿宋_GBK" w:eastAsia="方正仿宋_GBK"/>
          <w:color w:val="000000"/>
          <w:szCs w:val="32"/>
        </w:rPr>
        <w:t>%的扣除，以扣除后的报价参与评审。</w:t>
      </w:r>
    </w:p>
    <w:p>
      <w:pPr>
        <w:spacing w:line="400" w:lineRule="exact"/>
        <w:ind w:firstLine="560" w:firstLineChars="200"/>
        <w:rPr>
          <w:rFonts w:hint="eastAsia" w:ascii="方正仿宋_GBK" w:eastAsia="方正仿宋_GBK"/>
          <w:color w:val="000000"/>
          <w:szCs w:val="32"/>
          <w:lang w:val="en-US" w:eastAsia="zh-CN"/>
        </w:rPr>
      </w:pPr>
      <w:r>
        <w:rPr>
          <w:rFonts w:hint="eastAsia" w:ascii="方正仿宋_GBK" w:eastAsia="方正仿宋_GBK"/>
          <w:color w:val="000000"/>
          <w:szCs w:val="32"/>
        </w:rPr>
        <w:t>2.监狱企业、残疾人福利性单位属于微型企业的，应提供中小微企业声明函（详见第</w:t>
      </w:r>
      <w:r>
        <w:rPr>
          <w:rFonts w:hint="eastAsia" w:ascii="方正仿宋_GBK" w:eastAsia="方正仿宋_GBK"/>
          <w:color w:val="000000"/>
          <w:szCs w:val="32"/>
          <w:lang w:val="en-US" w:eastAsia="zh-CN"/>
        </w:rPr>
        <w:t>六</w:t>
      </w:r>
      <w:r>
        <w:rPr>
          <w:rFonts w:hint="eastAsia" w:ascii="方正仿宋_GBK" w:eastAsia="方正仿宋_GBK"/>
          <w:color w:val="000000"/>
          <w:szCs w:val="32"/>
        </w:rPr>
        <w:t>篇 “中小微企业声明函”）。未提供以上资料的监狱企业、残疾人福利性单位视同小型企业。</w:t>
      </w:r>
    </w:p>
    <w:p>
      <w:pPr>
        <w:pStyle w:val="3"/>
        <w:spacing w:line="400" w:lineRule="exact"/>
        <w:rPr>
          <w:rFonts w:ascii="方正仿宋_GBK" w:eastAsia="方正仿宋_GBK"/>
          <w:sz w:val="28"/>
          <w:szCs w:val="28"/>
        </w:rPr>
      </w:pPr>
      <w:bookmarkStart w:id="37" w:name="_Toc480201038"/>
      <w:r>
        <w:rPr>
          <w:rFonts w:hint="eastAsia" w:ascii="方正仿宋_GBK" w:eastAsia="方正仿宋_GBK"/>
          <w:sz w:val="28"/>
          <w:szCs w:val="28"/>
        </w:rPr>
        <w:t>四、无效响应</w:t>
      </w:r>
      <w:bookmarkEnd w:id="37"/>
    </w:p>
    <w:p>
      <w:pPr>
        <w:snapToGrid w:val="0"/>
        <w:spacing w:line="400" w:lineRule="exact"/>
        <w:ind w:firstLine="465"/>
        <w:rPr>
          <w:rFonts w:ascii="方正仿宋_GBK" w:hAnsi="宋体" w:eastAsia="方正仿宋_GBK"/>
          <w:szCs w:val="28"/>
        </w:rPr>
      </w:pPr>
      <w:r>
        <w:rPr>
          <w:rFonts w:hint="eastAsia" w:ascii="方正仿宋_GBK" w:hAnsi="宋体" w:eastAsia="方正仿宋_GBK"/>
          <w:szCs w:val="28"/>
        </w:rPr>
        <w:t>供应商发生以下条款情况之一者，视为无效响应，其响应文件将被拒绝：</w:t>
      </w:r>
    </w:p>
    <w:p>
      <w:pPr>
        <w:snapToGrid w:val="0"/>
        <w:spacing w:line="400" w:lineRule="exact"/>
        <w:ind w:firstLine="465"/>
        <w:rPr>
          <w:rFonts w:ascii="方正仿宋_GBK" w:hAnsi="宋体" w:eastAsia="方正仿宋_GBK"/>
          <w:szCs w:val="28"/>
        </w:rPr>
      </w:pPr>
      <w:r>
        <w:rPr>
          <w:rFonts w:hint="eastAsia" w:ascii="方正仿宋_GBK" w:hAnsi="宋体" w:eastAsia="方正仿宋_GBK"/>
          <w:szCs w:val="28"/>
        </w:rPr>
        <w:t>（一）供应商不符合规定的基本资格条件或特定资格条件的；</w:t>
      </w:r>
    </w:p>
    <w:p>
      <w:pPr>
        <w:snapToGrid w:val="0"/>
        <w:spacing w:line="400" w:lineRule="exact"/>
        <w:ind w:firstLine="465"/>
        <w:rPr>
          <w:rFonts w:ascii="方正仿宋_GBK" w:hAnsi="宋体" w:eastAsia="方正仿宋_GBK"/>
          <w:szCs w:val="28"/>
        </w:rPr>
      </w:pPr>
      <w:r>
        <w:rPr>
          <w:rFonts w:hint="eastAsia" w:ascii="方正仿宋_GBK" w:hAnsi="宋体" w:eastAsia="方正仿宋_GBK"/>
          <w:szCs w:val="28"/>
        </w:rPr>
        <w:t>（二）供应商的法定代表人或其授权代表未参加谈判；</w:t>
      </w:r>
    </w:p>
    <w:p>
      <w:pPr>
        <w:snapToGrid w:val="0"/>
        <w:spacing w:line="400" w:lineRule="exact"/>
        <w:ind w:firstLine="465"/>
        <w:rPr>
          <w:rFonts w:ascii="方正仿宋_GBK" w:hAnsi="宋体" w:eastAsia="方正仿宋_GBK"/>
          <w:szCs w:val="28"/>
        </w:rPr>
      </w:pPr>
      <w:r>
        <w:rPr>
          <w:rFonts w:hint="eastAsia" w:ascii="方正仿宋_GBK" w:hAnsi="宋体" w:eastAsia="方正仿宋_GBK"/>
          <w:szCs w:val="28"/>
        </w:rPr>
        <w:t>（三）供应商所提交的响应文件不按第六篇“响应文件编制要求”编制或规定签字、盖章；</w:t>
      </w:r>
    </w:p>
    <w:p>
      <w:pPr>
        <w:snapToGrid w:val="0"/>
        <w:spacing w:line="400" w:lineRule="exact"/>
        <w:ind w:firstLine="465"/>
        <w:rPr>
          <w:rFonts w:ascii="方正仿宋_GBK" w:hAnsi="方正仿宋_GBK" w:eastAsia="方正仿宋_GBK" w:cs="方正仿宋_GBK"/>
          <w:szCs w:val="28"/>
        </w:rPr>
      </w:pPr>
      <w:r>
        <w:rPr>
          <w:rFonts w:hint="eastAsia" w:ascii="方正仿宋_GBK" w:hAnsi="方正仿宋_GBK" w:eastAsia="方正仿宋_GBK" w:cs="方正仿宋_GBK"/>
          <w:szCs w:val="28"/>
        </w:rPr>
        <w:t>（四）供应商的最后报价超过采购预算的；</w:t>
      </w:r>
    </w:p>
    <w:p>
      <w:pPr>
        <w:snapToGrid w:val="0"/>
        <w:spacing w:line="400" w:lineRule="exact"/>
        <w:ind w:firstLine="465"/>
        <w:rPr>
          <w:rFonts w:ascii="方正仿宋_GBK" w:hAnsi="方正仿宋_GBK" w:eastAsia="方正仿宋_GBK" w:cs="方正仿宋_GBK"/>
          <w:szCs w:val="28"/>
        </w:rPr>
      </w:pPr>
      <w:r>
        <w:rPr>
          <w:rFonts w:hint="eastAsia" w:ascii="方正仿宋_GBK" w:hAnsi="方正仿宋_GBK" w:eastAsia="方正仿宋_GBK" w:cs="方正仿宋_GBK"/>
          <w:szCs w:val="28"/>
        </w:rPr>
        <w:t>（五）法定代表人为同一个人的两个及两个以上法人，母公司、全资子公司及其控股公司，在同一分包采购中同时参与谈判；</w:t>
      </w:r>
    </w:p>
    <w:p>
      <w:pPr>
        <w:snapToGrid w:val="0"/>
        <w:spacing w:line="400" w:lineRule="exact"/>
        <w:ind w:firstLine="465"/>
        <w:rPr>
          <w:rFonts w:ascii="方正仿宋_GBK" w:hAnsi="方正仿宋_GBK" w:eastAsia="方正仿宋_GBK" w:cs="方正仿宋_GBK"/>
          <w:szCs w:val="28"/>
        </w:rPr>
      </w:pPr>
      <w:r>
        <w:rPr>
          <w:rFonts w:hint="eastAsia" w:ascii="方正仿宋_GBK" w:hAnsi="方正仿宋_GBK" w:eastAsia="方正仿宋_GBK" w:cs="方正仿宋_GBK"/>
          <w:szCs w:val="28"/>
        </w:rPr>
        <w:t>（六）供应商响应文件内容有与国家现行法律法规相违背的内容，或附有采购人无法接受的条件。</w:t>
      </w:r>
    </w:p>
    <w:p>
      <w:pPr>
        <w:pStyle w:val="3"/>
        <w:spacing w:line="400" w:lineRule="exact"/>
        <w:rPr>
          <w:rFonts w:ascii="方正仿宋_GBK" w:hAnsi="方正仿宋_GBK" w:eastAsia="方正仿宋_GBK" w:cs="方正仿宋_GBK"/>
          <w:sz w:val="28"/>
          <w:szCs w:val="28"/>
        </w:rPr>
      </w:pPr>
      <w:bookmarkStart w:id="38" w:name="_Toc480201039"/>
      <w:r>
        <w:rPr>
          <w:rFonts w:hint="eastAsia" w:ascii="方正仿宋_GBK" w:hAnsi="方正仿宋_GBK" w:eastAsia="方正仿宋_GBK" w:cs="方正仿宋_GBK"/>
          <w:sz w:val="28"/>
          <w:szCs w:val="28"/>
        </w:rPr>
        <w:t>五、</w:t>
      </w:r>
      <w:bookmarkEnd w:id="35"/>
      <w:bookmarkEnd w:id="36"/>
      <w:r>
        <w:rPr>
          <w:rFonts w:hint="eastAsia" w:ascii="方正仿宋_GBK" w:hAnsi="方正仿宋_GBK" w:eastAsia="方正仿宋_GBK" w:cs="方正仿宋_GBK"/>
          <w:sz w:val="28"/>
          <w:szCs w:val="28"/>
        </w:rPr>
        <w:t>采购终止</w:t>
      </w:r>
      <w:bookmarkEnd w:id="38"/>
    </w:p>
    <w:p>
      <w:pPr>
        <w:snapToGrid w:val="0"/>
        <w:spacing w:line="400" w:lineRule="exact"/>
        <w:ind w:firstLine="465"/>
        <w:rPr>
          <w:rFonts w:ascii="方正仿宋_GBK" w:hAnsi="方正仿宋_GBK" w:eastAsia="方正仿宋_GBK" w:cs="方正仿宋_GBK"/>
          <w:szCs w:val="28"/>
        </w:rPr>
      </w:pPr>
      <w:r>
        <w:rPr>
          <w:rFonts w:hint="eastAsia" w:ascii="方正仿宋_GBK" w:hAnsi="方正仿宋_GBK" w:eastAsia="方正仿宋_GBK" w:cs="方正仿宋_GBK"/>
          <w:szCs w:val="28"/>
        </w:rPr>
        <w:t>出现下列情形之一的，采购人或者采购代理机构应当终止竞争性谈判采购活动，发布项目终止公告并说明原因，重新开展采购活动：</w:t>
      </w:r>
    </w:p>
    <w:p>
      <w:pPr>
        <w:snapToGrid w:val="0"/>
        <w:spacing w:line="400" w:lineRule="exact"/>
        <w:ind w:firstLine="465"/>
        <w:rPr>
          <w:rFonts w:ascii="方正仿宋_GBK" w:hAnsi="方正仿宋_GBK" w:eastAsia="方正仿宋_GBK" w:cs="方正仿宋_GBK"/>
          <w:szCs w:val="28"/>
        </w:rPr>
      </w:pPr>
      <w:r>
        <w:rPr>
          <w:rFonts w:hint="eastAsia" w:ascii="方正仿宋_GBK" w:hAnsi="方正仿宋_GBK" w:eastAsia="方正仿宋_GBK" w:cs="方正仿宋_GBK"/>
          <w:szCs w:val="28"/>
        </w:rPr>
        <w:t>（一）因情况变化，不再符合规定的竞争性谈判采购方式适用情形的；</w:t>
      </w:r>
    </w:p>
    <w:p>
      <w:pPr>
        <w:snapToGrid w:val="0"/>
        <w:spacing w:line="400" w:lineRule="exact"/>
        <w:ind w:firstLine="465"/>
        <w:rPr>
          <w:rFonts w:ascii="方正仿宋_GBK" w:hAnsi="方正仿宋_GBK" w:eastAsia="方正仿宋_GBK" w:cs="方正仿宋_GBK"/>
          <w:szCs w:val="28"/>
        </w:rPr>
      </w:pPr>
      <w:r>
        <w:rPr>
          <w:rFonts w:hint="eastAsia" w:ascii="方正仿宋_GBK" w:hAnsi="方正仿宋_GBK" w:eastAsia="方正仿宋_GBK" w:cs="方正仿宋_GBK"/>
          <w:szCs w:val="28"/>
        </w:rPr>
        <w:t>（二）出现影响采购公正的违法、违规行为的；</w:t>
      </w:r>
    </w:p>
    <w:p>
      <w:pPr>
        <w:snapToGrid w:val="0"/>
        <w:spacing w:line="400" w:lineRule="exact"/>
        <w:ind w:firstLine="465"/>
        <w:rPr>
          <w:rFonts w:ascii="方正仿宋_GBK" w:hAnsi="方正仿宋_GBK" w:eastAsia="方正仿宋_GBK" w:cs="方正仿宋_GBK"/>
          <w:szCs w:val="28"/>
        </w:rPr>
      </w:pPr>
      <w:r>
        <w:rPr>
          <w:rFonts w:hint="eastAsia" w:ascii="方正仿宋_GBK" w:hAnsi="方正仿宋_GBK" w:eastAsia="方正仿宋_GBK" w:cs="方正仿宋_GBK"/>
          <w:szCs w:val="28"/>
        </w:rPr>
        <w:t>（三）</w:t>
      </w:r>
      <w:bookmarkStart w:id="39" w:name="_Toc480201040"/>
      <w:bookmarkStart w:id="40" w:name="_Toc102227313"/>
      <w:r>
        <w:rPr>
          <w:rFonts w:hint="eastAsia" w:ascii="方正仿宋_GBK" w:hAnsi="方正仿宋_GBK" w:eastAsia="方正仿宋_GBK" w:cs="方正仿宋_GBK"/>
          <w:szCs w:val="28"/>
        </w:rPr>
        <w:t>在采购过程中符合竞争要求的供应商或者报价未超过采购预算的供应商不足3家的，但《政府采购非招标采购方式管理办法》第二十七条第二款规定的情形除外。</w:t>
      </w:r>
    </w:p>
    <w:p>
      <w:pPr>
        <w:widowControl/>
        <w:jc w:val="left"/>
        <w:rPr>
          <w:rFonts w:ascii="方正黑体_GBK" w:hAnsi="方正黑体_GBK" w:eastAsia="方正黑体_GBK" w:cs="方正黑体_GBK"/>
          <w:sz w:val="44"/>
          <w:szCs w:val="44"/>
        </w:rPr>
      </w:pPr>
      <w:r>
        <w:rPr>
          <w:rFonts w:ascii="方正黑体_GBK" w:hAnsi="方正黑体_GBK" w:eastAsia="方正黑体_GBK" w:cs="方正黑体_GBK"/>
          <w:sz w:val="44"/>
          <w:szCs w:val="44"/>
        </w:rPr>
        <w:br w:type="page"/>
      </w:r>
    </w:p>
    <w:p>
      <w:pPr>
        <w:ind w:firstLine="1760" w:firstLineChars="400"/>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第五篇  供应商须知</w:t>
      </w:r>
      <w:bookmarkEnd w:id="39"/>
      <w:bookmarkEnd w:id="40"/>
    </w:p>
    <w:p>
      <w:pPr>
        <w:pStyle w:val="3"/>
        <w:spacing w:line="440" w:lineRule="exact"/>
        <w:rPr>
          <w:rFonts w:ascii="方正仿宋_GBK" w:eastAsia="方正仿宋_GBK"/>
          <w:sz w:val="28"/>
          <w:szCs w:val="28"/>
        </w:rPr>
      </w:pPr>
      <w:bookmarkStart w:id="41" w:name="_Toc480201041"/>
      <w:bookmarkStart w:id="42" w:name="_Toc342913389"/>
      <w:r>
        <w:rPr>
          <w:rFonts w:hint="eastAsia" w:ascii="方正仿宋_GBK" w:eastAsia="方正仿宋_GBK"/>
          <w:sz w:val="28"/>
          <w:szCs w:val="28"/>
        </w:rPr>
        <w:t>一、谈判费用</w:t>
      </w:r>
      <w:bookmarkEnd w:id="41"/>
      <w:bookmarkEnd w:id="42"/>
    </w:p>
    <w:p>
      <w:pPr>
        <w:pStyle w:val="18"/>
        <w:spacing w:line="40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参与</w:t>
      </w:r>
      <w:r>
        <w:rPr>
          <w:rFonts w:hint="eastAsia" w:ascii="方正仿宋_GBK" w:eastAsia="方正仿宋_GBK"/>
          <w:sz w:val="28"/>
          <w:szCs w:val="28"/>
        </w:rPr>
        <w:t>谈判</w:t>
      </w:r>
      <w:r>
        <w:rPr>
          <w:rFonts w:hint="eastAsia" w:ascii="方正仿宋_GBK" w:hAnsi="宋体" w:eastAsia="方正仿宋_GBK"/>
          <w:sz w:val="28"/>
          <w:szCs w:val="28"/>
        </w:rPr>
        <w:t>的供应商应承担其编制响应文件与递交响应文件所涉及的一切费用，不论</w:t>
      </w:r>
      <w:r>
        <w:rPr>
          <w:rFonts w:hint="eastAsia" w:ascii="方正仿宋_GBK" w:eastAsia="方正仿宋_GBK"/>
          <w:sz w:val="28"/>
          <w:szCs w:val="28"/>
        </w:rPr>
        <w:t>谈判</w:t>
      </w:r>
      <w:r>
        <w:rPr>
          <w:rFonts w:hint="eastAsia" w:ascii="方正仿宋_GBK" w:hAnsi="宋体" w:eastAsia="方正仿宋_GBK"/>
          <w:sz w:val="28"/>
          <w:szCs w:val="28"/>
        </w:rPr>
        <w:t>结果如何，采购人和采购代理机构在任何情况下无义务也无责任承担这些费用。</w:t>
      </w:r>
    </w:p>
    <w:p>
      <w:pPr>
        <w:pStyle w:val="3"/>
        <w:tabs>
          <w:tab w:val="left" w:pos="2640"/>
        </w:tabs>
        <w:spacing w:line="400" w:lineRule="exact"/>
        <w:rPr>
          <w:rFonts w:ascii="方正仿宋_GBK" w:eastAsia="方正仿宋_GBK"/>
          <w:sz w:val="28"/>
          <w:szCs w:val="28"/>
        </w:rPr>
      </w:pPr>
      <w:bookmarkStart w:id="43" w:name="_Toc342913391"/>
      <w:bookmarkStart w:id="44" w:name="_Toc480201042"/>
      <w:r>
        <w:rPr>
          <w:rFonts w:hint="eastAsia" w:ascii="方正仿宋_GBK" w:eastAsia="方正仿宋_GBK"/>
          <w:sz w:val="28"/>
          <w:szCs w:val="28"/>
        </w:rPr>
        <w:t>二、竞争性谈判文件</w:t>
      </w:r>
      <w:bookmarkEnd w:id="43"/>
      <w:bookmarkEnd w:id="44"/>
    </w:p>
    <w:p>
      <w:pPr>
        <w:snapToGrid w:val="0"/>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（一）竞争性谈判文件由采购邀请书、</w:t>
      </w:r>
      <w:r>
        <w:rPr>
          <w:rFonts w:hint="eastAsia" w:ascii="方正仿宋_GBK" w:hAnsi="宋体" w:eastAsia="方正仿宋_GBK"/>
          <w:szCs w:val="28"/>
          <w:lang w:val="en-US" w:eastAsia="zh-CN"/>
        </w:rPr>
        <w:t>谈判项目</w:t>
      </w:r>
      <w:r>
        <w:rPr>
          <w:rFonts w:hint="eastAsia" w:ascii="方正仿宋_GBK" w:hAnsi="宋体" w:eastAsia="方正仿宋_GBK"/>
          <w:szCs w:val="28"/>
        </w:rPr>
        <w:t>服务需求、</w:t>
      </w:r>
      <w:r>
        <w:rPr>
          <w:rFonts w:hint="eastAsia" w:ascii="方正仿宋_GBK" w:hAnsi="宋体" w:eastAsia="方正仿宋_GBK"/>
          <w:szCs w:val="28"/>
          <w:lang w:val="en-US" w:eastAsia="zh-CN"/>
        </w:rPr>
        <w:t>谈判项目</w:t>
      </w:r>
      <w:r>
        <w:rPr>
          <w:rFonts w:hint="eastAsia" w:ascii="方正仿宋_GBK" w:hAnsi="宋体" w:eastAsia="方正仿宋_GBK"/>
          <w:szCs w:val="28"/>
        </w:rPr>
        <w:t>商务需求、谈判程序、</w:t>
      </w:r>
      <w:r>
        <w:rPr>
          <w:rFonts w:hint="eastAsia" w:ascii="方正仿宋_GBK" w:hAnsi="宋体" w:eastAsia="方正仿宋_GBK"/>
          <w:szCs w:val="28"/>
          <w:lang w:val="en-US" w:eastAsia="zh-CN"/>
        </w:rPr>
        <w:t>供应商须知</w:t>
      </w:r>
      <w:r>
        <w:rPr>
          <w:rFonts w:hint="eastAsia" w:ascii="方正仿宋_GBK" w:hAnsi="宋体" w:eastAsia="方正仿宋_GBK"/>
          <w:szCs w:val="28"/>
        </w:rPr>
        <w:t>、响应文件编制要求六部分组成。</w:t>
      </w:r>
    </w:p>
    <w:p>
      <w:pPr>
        <w:snapToGrid w:val="0"/>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（二）采购人（或采购代理机构）所作的一切有效的书面通知、修改及补充，都是竞争性谈判文件不可分割的部分。</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（三）</w:t>
      </w:r>
      <w:bookmarkStart w:id="45" w:name="_Toc318159780"/>
      <w:bookmarkStart w:id="46" w:name="_Toc318166429"/>
      <w:bookmarkStart w:id="47" w:name="_Toc318159160"/>
      <w:bookmarkStart w:id="48" w:name="_Toc318159349"/>
      <w:r>
        <w:rPr>
          <w:rFonts w:hint="eastAsia" w:ascii="方正仿宋_GBK" w:hAnsi="宋体" w:eastAsia="方正仿宋_GBK"/>
          <w:color w:val="000000"/>
          <w:szCs w:val="28"/>
        </w:rPr>
        <w:t>评审的依据为竞争性谈判文件和响应文件（含有效的书</w:t>
      </w:r>
      <w:r>
        <w:rPr>
          <w:rFonts w:hint="eastAsia" w:ascii="方正仿宋_GBK" w:hAnsi="宋体" w:eastAsia="方正仿宋_GBK"/>
          <w:szCs w:val="28"/>
        </w:rPr>
        <w:t>面承诺）。谈判小组判断响应文件对竞争性谈判文件的响应，仅基于响应文件本身而不靠外部证据。</w:t>
      </w:r>
    </w:p>
    <w:bookmarkEnd w:id="45"/>
    <w:bookmarkEnd w:id="46"/>
    <w:bookmarkEnd w:id="47"/>
    <w:bookmarkEnd w:id="48"/>
    <w:p>
      <w:pPr>
        <w:pStyle w:val="3"/>
        <w:spacing w:line="400" w:lineRule="exact"/>
        <w:rPr>
          <w:rFonts w:ascii="方正仿宋_GBK" w:eastAsia="方正仿宋_GBK"/>
          <w:sz w:val="28"/>
          <w:szCs w:val="28"/>
        </w:rPr>
      </w:pPr>
      <w:bookmarkStart w:id="49" w:name="_Toc179714297"/>
      <w:bookmarkStart w:id="50" w:name="_Toc480201043"/>
      <w:bookmarkStart w:id="51" w:name="_Toc342913392"/>
      <w:bookmarkStart w:id="52" w:name="_Toc102227318"/>
      <w:r>
        <w:rPr>
          <w:rFonts w:hint="eastAsia" w:ascii="方正仿宋_GBK" w:eastAsia="方正仿宋_GBK"/>
          <w:sz w:val="28"/>
          <w:szCs w:val="28"/>
        </w:rPr>
        <w:t>三、谈判要求</w:t>
      </w:r>
      <w:bookmarkEnd w:id="49"/>
      <w:bookmarkEnd w:id="50"/>
      <w:bookmarkEnd w:id="51"/>
      <w:bookmarkEnd w:id="52"/>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（一）响应文件</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1、供应商应当按照竞争性谈判文件的要求编制响应文件，并对竞争性谈判文件提出的要求和条件作出实质性响应，响应文件原则上采用软面订本，同时应编制完整的页码、目录。</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2、响应文件组成</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pPr>
        <w:spacing w:line="400" w:lineRule="exact"/>
        <w:ind w:firstLine="560" w:firstLineChars="200"/>
        <w:rPr>
          <w:rFonts w:ascii="方正仿宋_GBK" w:hAnsi="宋体" w:eastAsia="方正仿宋_GBK"/>
          <w:szCs w:val="28"/>
        </w:rPr>
      </w:pPr>
      <w:r>
        <w:rPr>
          <w:rFonts w:hint="eastAsia" w:ascii="方正仿宋_GBK" w:hAnsi="宋体" w:eastAsia="方正仿宋_GBK"/>
          <w:szCs w:val="28"/>
        </w:rPr>
        <w:t>（二）谈判有效期：响应文件及有关承诺文件有效期为提交响应文件截止时间起90天。</w:t>
      </w:r>
    </w:p>
    <w:p>
      <w:pPr>
        <w:snapToGrid w:val="0"/>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（三））提交响应文件的份数和签署</w:t>
      </w:r>
    </w:p>
    <w:p>
      <w:pPr>
        <w:snapToGrid w:val="0"/>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1、响应文件一式两份，其中正本一份，副本一份（注明正副本）；副本可为正本的复印件，应与正本一致，如出现不一致情况以正本为准。</w:t>
      </w:r>
    </w:p>
    <w:p>
      <w:pPr>
        <w:snapToGrid w:val="0"/>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2、在响应文件正本中，竞争性谈判文件第</w:t>
      </w:r>
      <w:r>
        <w:rPr>
          <w:rFonts w:hint="eastAsia" w:ascii="方正仿宋_GBK" w:hAnsi="方正仿宋_GBK" w:eastAsia="方正仿宋_GBK" w:cs="方正仿宋_GBK"/>
          <w:szCs w:val="28"/>
          <w:lang w:val="en-US" w:eastAsia="zh-CN"/>
        </w:rPr>
        <w:t>六</w:t>
      </w:r>
      <w:r>
        <w:rPr>
          <w:rFonts w:hint="eastAsia" w:ascii="方正仿宋_GBK" w:hAnsi="方正仿宋_GBK" w:eastAsia="方正仿宋_GBK" w:cs="方正仿宋_GBK"/>
          <w:szCs w:val="28"/>
        </w:rPr>
        <w:t>篇响应文件编制要求中规定签字、盖章的地方必须按其规定签字、盖章。</w:t>
      </w:r>
    </w:p>
    <w:p>
      <w:pPr>
        <w:snapToGrid w:val="0"/>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（四）响应文件的递交</w:t>
      </w:r>
    </w:p>
    <w:p>
      <w:pPr>
        <w:snapToGrid w:val="0"/>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1. 响应文件的密封</w:t>
      </w:r>
    </w:p>
    <w:p>
      <w:pPr>
        <w:snapToGrid w:val="0"/>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1.1响应文件的正本、副本应密封送达递交响应文件地点，应在封套上注明项目名称、供应商名称。若正本、副本文档分别进行密封的，还应在封套上注明“正本”、“副本”字样。</w:t>
      </w:r>
    </w:p>
    <w:p>
      <w:pPr>
        <w:snapToGrid w:val="0"/>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1.2封套的封口处应加盖供应商公章或由法定代表人授权代表签字。</w:t>
      </w:r>
    </w:p>
    <w:p>
      <w:pPr>
        <w:snapToGrid w:val="0"/>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2.如果未按上述规定进行密封，采购代理机构对响应文件误投、丢失或提前拆封不负责任。</w:t>
      </w:r>
    </w:p>
    <w:p>
      <w:pPr>
        <w:snapToGrid w:val="0"/>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（五）供应商参与人员</w:t>
      </w:r>
    </w:p>
    <w:p>
      <w:pPr>
        <w:snapToGrid w:val="0"/>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各个供应商应当派1-2名代表参与谈判，至少1人应为法定代表人或具有法定代表人授权委托书的授权代表。</w:t>
      </w:r>
    </w:p>
    <w:p>
      <w:pPr>
        <w:pStyle w:val="3"/>
        <w:spacing w:line="480" w:lineRule="exact"/>
        <w:rPr>
          <w:rFonts w:ascii="方正仿宋_GBK" w:hAnsi="方正仿宋_GBK" w:eastAsia="方正仿宋_GBK" w:cs="方正仿宋_GBK"/>
          <w:sz w:val="28"/>
          <w:szCs w:val="28"/>
        </w:rPr>
      </w:pPr>
      <w:bookmarkStart w:id="53" w:name="_Toc480201044"/>
      <w:r>
        <w:rPr>
          <w:rFonts w:hint="eastAsia" w:ascii="方正仿宋_GBK" w:hAnsi="方正仿宋_GBK" w:eastAsia="方正仿宋_GBK" w:cs="方正仿宋_GBK"/>
          <w:sz w:val="28"/>
          <w:szCs w:val="28"/>
        </w:rPr>
        <w:t>四、成交</w:t>
      </w:r>
      <w:bookmarkEnd w:id="53"/>
      <w:r>
        <w:rPr>
          <w:rFonts w:hint="eastAsia" w:ascii="方正仿宋_GBK" w:hAnsi="方正仿宋_GBK" w:eastAsia="方正仿宋_GBK" w:cs="方正仿宋_GBK"/>
          <w:sz w:val="28"/>
          <w:szCs w:val="28"/>
        </w:rPr>
        <w:t>通知</w:t>
      </w:r>
    </w:p>
    <w:p>
      <w:pPr>
        <w:spacing w:line="48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（一）采购人在成交供应商确定后2个工作日内，在行采家网（https://www.gec123.com/）站上公示1个工作日。</w:t>
      </w:r>
    </w:p>
    <w:p>
      <w:pPr>
        <w:spacing w:line="40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Cs w:val="28"/>
        </w:rPr>
        <w:t>（二）如果供应商对成交结果提出质疑的，请在公告期限内联系采购人。</w:t>
      </w:r>
    </w:p>
    <w:p>
      <w:pPr>
        <w:pStyle w:val="3"/>
        <w:spacing w:line="400" w:lineRule="exact"/>
        <w:rPr>
          <w:rFonts w:ascii="方正仿宋_GBK" w:hAnsi="方正仿宋_GBK" w:eastAsia="方正仿宋_GBK" w:cs="方正仿宋_GBK"/>
          <w:sz w:val="28"/>
          <w:szCs w:val="28"/>
        </w:rPr>
      </w:pPr>
      <w:bookmarkStart w:id="54" w:name="_Toc466546931"/>
      <w:bookmarkStart w:id="55" w:name="_Toc480201047"/>
      <w:r>
        <w:rPr>
          <w:rFonts w:hint="eastAsia" w:ascii="方正仿宋_GBK" w:hAnsi="方正仿宋_GBK" w:eastAsia="方正仿宋_GBK" w:cs="方正仿宋_GBK"/>
          <w:sz w:val="28"/>
          <w:szCs w:val="28"/>
        </w:rPr>
        <w:t>五、</w:t>
      </w:r>
      <w:bookmarkStart w:id="56" w:name="_Toc102227322"/>
      <w:bookmarkStart w:id="57" w:name="_Toc342913396"/>
      <w:bookmarkStart w:id="58" w:name="_Toc11641055"/>
      <w:bookmarkStart w:id="59" w:name="_Toc12789059"/>
      <w:bookmarkEnd w:id="54"/>
      <w:r>
        <w:rPr>
          <w:rFonts w:hint="eastAsia" w:ascii="方正仿宋_GBK" w:hAnsi="方正仿宋_GBK" w:eastAsia="方正仿宋_GBK" w:cs="方正仿宋_GBK"/>
          <w:sz w:val="28"/>
          <w:szCs w:val="28"/>
        </w:rPr>
        <w:t>签订</w:t>
      </w:r>
      <w:bookmarkEnd w:id="56"/>
      <w:r>
        <w:rPr>
          <w:rFonts w:hint="eastAsia" w:ascii="方正仿宋_GBK" w:hAnsi="方正仿宋_GBK" w:eastAsia="方正仿宋_GBK" w:cs="方正仿宋_GBK"/>
          <w:sz w:val="28"/>
          <w:szCs w:val="28"/>
        </w:rPr>
        <w:t>合同</w:t>
      </w:r>
      <w:bookmarkEnd w:id="55"/>
      <w:bookmarkEnd w:id="57"/>
    </w:p>
    <w:p>
      <w:pPr>
        <w:spacing w:line="400" w:lineRule="exact"/>
        <w:ind w:firstLine="420" w:firstLineChars="150"/>
        <w:rPr>
          <w:rFonts w:ascii="方正仿宋_GBK" w:hAnsi="方正仿宋_GBK" w:eastAsia="方正仿宋_GBK" w:cs="方正仿宋_GBK"/>
          <w:szCs w:val="28"/>
        </w:rPr>
      </w:pPr>
      <w:r>
        <w:rPr>
          <w:rFonts w:hint="eastAsia" w:ascii="方正仿宋_GBK" w:hAnsi="方正仿宋_GBK" w:eastAsia="方正仿宋_GBK" w:cs="方正仿宋_GBK"/>
          <w:szCs w:val="28"/>
        </w:rPr>
        <w:t>（一）采购人应当自成交通知书发出之日起三十日内，按照竞争性谈判文件和成交供应商响应文件的约定，与成交供应商签订书面合同。所签订的合同不得对竞争性谈判文件和供应商的响应文件作实质性修改。</w:t>
      </w:r>
    </w:p>
    <w:p>
      <w:pPr>
        <w:spacing w:line="400" w:lineRule="exact"/>
        <w:ind w:firstLine="420" w:firstLineChars="150"/>
        <w:rPr>
          <w:rFonts w:ascii="方正仿宋_GBK" w:hAnsi="方正仿宋_GBK" w:eastAsia="方正仿宋_GBK" w:cs="方正仿宋_GBK"/>
          <w:szCs w:val="28"/>
        </w:rPr>
      </w:pPr>
      <w:r>
        <w:rPr>
          <w:rFonts w:hint="eastAsia" w:ascii="方正仿宋_GBK" w:hAnsi="方正仿宋_GBK" w:eastAsia="方正仿宋_GBK" w:cs="方正仿宋_GBK"/>
          <w:szCs w:val="28"/>
        </w:rPr>
        <w:t>（二）竞争性谈判文件、供应商的响应文件及澄清文件等，均为签订采购合同的依据。</w:t>
      </w:r>
    </w:p>
    <w:p>
      <w:pPr>
        <w:pStyle w:val="2"/>
        <w:spacing w:line="360" w:lineRule="auto"/>
        <w:ind w:firstLine="2160" w:firstLineChars="600"/>
        <w:rPr>
          <w:rFonts w:ascii="方正小标宋_GBK" w:hAnsi="宋体" w:eastAsia="方正小标宋_GBK"/>
          <w:b w:val="0"/>
          <w:sz w:val="36"/>
          <w:szCs w:val="30"/>
        </w:rPr>
      </w:pPr>
      <w:bookmarkStart w:id="60" w:name="_Toc480201049"/>
    </w:p>
    <w:p>
      <w:pPr>
        <w:pStyle w:val="2"/>
        <w:spacing w:line="360" w:lineRule="auto"/>
        <w:ind w:firstLine="2160" w:firstLineChars="600"/>
        <w:jc w:val="center"/>
        <w:rPr>
          <w:rFonts w:ascii="方正小标宋_GBK" w:hAnsi="宋体" w:eastAsia="方正小标宋_GBK"/>
          <w:b w:val="0"/>
          <w:sz w:val="36"/>
          <w:szCs w:val="30"/>
        </w:rPr>
      </w:pPr>
    </w:p>
    <w:p>
      <w:pPr>
        <w:pStyle w:val="2"/>
        <w:spacing w:line="360" w:lineRule="auto"/>
        <w:jc w:val="left"/>
        <w:rPr>
          <w:rFonts w:ascii="方正小标宋_GBK" w:hAnsi="宋体" w:eastAsia="方正小标宋_GBK"/>
          <w:b w:val="0"/>
          <w:sz w:val="36"/>
          <w:szCs w:val="30"/>
        </w:rPr>
      </w:pPr>
    </w:p>
    <w:p>
      <w:pPr>
        <w:pStyle w:val="2"/>
        <w:spacing w:line="360" w:lineRule="auto"/>
        <w:jc w:val="left"/>
        <w:rPr>
          <w:rFonts w:ascii="方正小标宋_GBK" w:hAnsi="宋体" w:eastAsia="方正小标宋_GBK"/>
          <w:b w:val="0"/>
          <w:sz w:val="36"/>
          <w:szCs w:val="30"/>
        </w:rPr>
      </w:pPr>
    </w:p>
    <w:p>
      <w:pPr>
        <w:pStyle w:val="2"/>
        <w:spacing w:line="360" w:lineRule="auto"/>
        <w:jc w:val="left"/>
        <w:rPr>
          <w:rFonts w:ascii="方正小标宋_GBK" w:hAnsi="宋体" w:eastAsia="方正小标宋_GBK"/>
          <w:b w:val="0"/>
          <w:sz w:val="36"/>
          <w:szCs w:val="30"/>
        </w:rPr>
      </w:pPr>
    </w:p>
    <w:p>
      <w:pPr>
        <w:rPr>
          <w:rFonts w:ascii="方正小标宋_GBK" w:hAnsi="宋体" w:eastAsia="方正小标宋_GBK"/>
          <w:sz w:val="36"/>
          <w:szCs w:val="30"/>
        </w:rPr>
      </w:pPr>
    </w:p>
    <w:p>
      <w:pPr>
        <w:rPr>
          <w:rFonts w:ascii="方正小标宋_GBK" w:hAnsi="宋体" w:eastAsia="方正小标宋_GBK"/>
          <w:sz w:val="36"/>
          <w:szCs w:val="30"/>
        </w:rPr>
      </w:pPr>
    </w:p>
    <w:p>
      <w:pPr>
        <w:rPr>
          <w:rFonts w:ascii="方正小标宋_GBK" w:hAnsi="宋体" w:eastAsia="方正小标宋_GBK"/>
          <w:sz w:val="36"/>
          <w:szCs w:val="30"/>
        </w:rPr>
      </w:pPr>
    </w:p>
    <w:p>
      <w:pPr>
        <w:rPr>
          <w:rFonts w:ascii="方正小标宋_GBK" w:hAnsi="宋体" w:eastAsia="方正小标宋_GBK"/>
          <w:sz w:val="36"/>
          <w:szCs w:val="30"/>
        </w:rPr>
      </w:pPr>
    </w:p>
    <w:p>
      <w:pPr>
        <w:rPr>
          <w:rFonts w:ascii="方正小标宋_GBK" w:hAnsi="宋体" w:eastAsia="方正小标宋_GBK"/>
          <w:sz w:val="36"/>
          <w:szCs w:val="30"/>
        </w:rPr>
      </w:pPr>
    </w:p>
    <w:p>
      <w:pPr>
        <w:rPr>
          <w:rFonts w:ascii="方正小标宋_GBK" w:hAnsi="宋体" w:eastAsia="方正小标宋_GBK"/>
          <w:sz w:val="36"/>
          <w:szCs w:val="30"/>
        </w:rPr>
      </w:pPr>
    </w:p>
    <w:p>
      <w:pPr>
        <w:ind w:firstLine="1760" w:firstLineChars="400"/>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第六篇</w:t>
      </w:r>
      <w:bookmarkStart w:id="61" w:name="_Hlt41879464"/>
      <w:bookmarkEnd w:id="61"/>
      <w:bookmarkStart w:id="62" w:name="_Toc12789072"/>
      <w:bookmarkEnd w:id="62"/>
      <w:bookmarkStart w:id="63" w:name="_Toc480201050"/>
      <w:bookmarkEnd w:id="58"/>
      <w:bookmarkEnd w:id="59"/>
      <w:bookmarkEnd w:id="60"/>
      <w:r>
        <w:rPr>
          <w:rFonts w:hint="eastAsia" w:ascii="方正黑体_GBK" w:hAnsi="方正黑体_GBK" w:eastAsia="方正黑体_GBK" w:cs="方正黑体_GBK"/>
          <w:sz w:val="44"/>
          <w:szCs w:val="44"/>
        </w:rPr>
        <w:t xml:space="preserve">   响应文件编制要求</w:t>
      </w:r>
      <w:bookmarkEnd w:id="63"/>
    </w:p>
    <w:p>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一、经济部分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（一）竞争性报价函</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w:t>
      </w:r>
    </w:p>
    <w:p>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二、技术部分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技术响应偏离表</w:t>
      </w:r>
    </w:p>
    <w:p>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三、服务部分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服务响应偏离表</w:t>
      </w:r>
    </w:p>
    <w:p>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四、资格条件及其他</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（一）营业执照（副本）或事业单位法人证书（副本）复印件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（二）组织机构代码证复印件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（三）法定代表人身份证明书（格式）</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（四）法定代表人授权委托书（格式）</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（五）提供</w:t>
      </w:r>
      <w:r>
        <w:rPr>
          <w:rFonts w:hint="eastAsia" w:ascii="方正仿宋_GBK" w:hAnsi="宋体" w:eastAsia="方正仿宋_GBK"/>
          <w:sz w:val="24"/>
          <w:szCs w:val="24"/>
          <w:lang w:val="en-US" w:eastAsia="zh-CN"/>
        </w:rPr>
        <w:t>最近一年年</w:t>
      </w:r>
      <w:r>
        <w:rPr>
          <w:rFonts w:hint="eastAsia" w:ascii="方正仿宋_GBK" w:hAnsi="宋体" w:eastAsia="方正仿宋_GBK"/>
          <w:sz w:val="24"/>
          <w:szCs w:val="24"/>
        </w:rPr>
        <w:t>度财务状况报告（表）复印件，本年度新成立的公司提供提交响应文件截止时间前一个月的财务状况报告（表）复印件（新成立公司不足一个月的除外）。</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（六）书面声明（格式）</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（七）税务登记证（副本）复印件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pacing w:line="44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说明：供应商按“五证合一”登记制度办理营业执照的，</w:t>
      </w:r>
      <w:r>
        <w:rPr>
          <w:rFonts w:hint="eastAsia" w:ascii="方正仿宋_GBK" w:hAnsi="仿宋" w:eastAsia="方正仿宋_GBK" w:cs="宋体"/>
          <w:kern w:val="0"/>
          <w:sz w:val="24"/>
          <w:szCs w:val="24"/>
        </w:rPr>
        <w:t>组织机构代码证、税务登记证（副本）和社会保险登记证</w:t>
      </w:r>
      <w:r>
        <w:rPr>
          <w:rFonts w:hint="eastAsia" w:ascii="方正仿宋_GBK" w:hAnsi="仿宋" w:eastAsia="方正仿宋_GBK"/>
          <w:sz w:val="24"/>
          <w:szCs w:val="24"/>
        </w:rPr>
        <w:t>以供应商所提供的营业执照（副本）复印件为准。</w:t>
      </w:r>
    </w:p>
    <w:p>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五、其他应提供的资料</w:t>
      </w:r>
    </w:p>
    <w:p>
      <w:pPr>
        <w:spacing w:line="44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（一）供应商小微企业证明文件、微型企业承诺书、监狱企业证明文件、残疾人福利性单位声明函</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（二）其他与项目有关的资料（自附）</w:t>
      </w:r>
    </w:p>
    <w:p>
      <w:pPr>
        <w:snapToGrid w:val="0"/>
        <w:spacing w:line="360" w:lineRule="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spacing w:line="360" w:lineRule="auto"/>
        <w:rPr>
          <w:rFonts w:ascii="方正仿宋_GBK" w:hAnsi="宋体" w:eastAsia="方正仿宋_GBK"/>
          <w:sz w:val="24"/>
          <w:szCs w:val="24"/>
        </w:rPr>
      </w:pPr>
      <w:bookmarkStart w:id="64" w:name="_Toc313008356"/>
      <w:bookmarkStart w:id="65" w:name="_Toc313888360"/>
      <w:bookmarkStart w:id="66" w:name="_Toc342913419"/>
      <w:bookmarkStart w:id="67" w:name="_Toc511909623"/>
      <w:bookmarkStart w:id="68" w:name="_Toc12789073"/>
      <w:bookmarkStart w:id="69" w:name="_Toc283382454"/>
      <w:r>
        <w:rPr>
          <w:rFonts w:hint="eastAsia" w:ascii="方正仿宋_GBK" w:hAnsi="宋体" w:eastAsia="方正仿宋_GBK"/>
          <w:sz w:val="24"/>
          <w:szCs w:val="24"/>
        </w:rPr>
        <w:t>一、经济部分</w:t>
      </w:r>
      <w:bookmarkEnd w:id="64"/>
      <w:bookmarkEnd w:id="65"/>
      <w:bookmarkEnd w:id="66"/>
      <w:bookmarkEnd w:id="67"/>
    </w:p>
    <w:bookmarkEnd w:id="68"/>
    <w:bookmarkEnd w:id="69"/>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（一）竞争性报价函</w:t>
      </w:r>
    </w:p>
    <w:p>
      <w:pPr>
        <w:tabs>
          <w:tab w:val="left" w:pos="6300"/>
        </w:tabs>
        <w:snapToGrid w:val="0"/>
        <w:spacing w:line="480" w:lineRule="exact"/>
        <w:jc w:val="center"/>
        <w:outlineLvl w:val="0"/>
        <w:rPr>
          <w:rFonts w:ascii="方正仿宋_GBK" w:hAnsi="宋体" w:eastAsia="方正仿宋_GBK"/>
          <w:b/>
          <w:szCs w:val="28"/>
        </w:rPr>
      </w:pPr>
      <w:r>
        <w:rPr>
          <w:rFonts w:hint="eastAsia" w:ascii="方正仿宋_GBK" w:hAnsi="宋体" w:eastAsia="方正仿宋_GBK"/>
          <w:b/>
          <w:szCs w:val="28"/>
        </w:rPr>
        <w:t>竞争性报价函</w:t>
      </w:r>
    </w:p>
    <w:p>
      <w:pPr>
        <w:tabs>
          <w:tab w:val="left" w:pos="6300"/>
        </w:tabs>
        <w:snapToGrid w:val="0"/>
        <w:spacing w:line="312" w:lineRule="auto"/>
        <w:rPr>
          <w:rFonts w:ascii="方正仿宋_GBK" w:hAnsi="宋体" w:eastAsia="方正仿宋_GBK"/>
          <w:sz w:val="24"/>
          <w:szCs w:val="24"/>
        </w:rPr>
      </w:pPr>
      <w:r>
        <w:rPr>
          <w:rFonts w:hint="eastAsia" w:ascii="方正仿宋_GBK" w:hAnsi="宋体" w:eastAsia="方正仿宋_GBK"/>
          <w:sz w:val="24"/>
          <w:szCs w:val="24"/>
          <w:u w:val="single"/>
        </w:rPr>
        <w:t>（采购机构名称）</w:t>
      </w:r>
      <w:r>
        <w:rPr>
          <w:rFonts w:hint="eastAsia" w:ascii="方正仿宋_GBK" w:hAnsi="宋体" w:eastAsia="方正仿宋_GBK"/>
          <w:sz w:val="24"/>
          <w:szCs w:val="24"/>
        </w:rPr>
        <w:t>：</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我方收到____________________________（谈判项目名称）的竞争性谈判文件，经详细研究，决定参加该谈判项目的竞争谈判。</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1.愿意按照竞争性谈判文件中的一切要求，提供本项目的交货及技术服务，初始报价为人民币大写：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3.我方承诺：本次谈判的有效期为90天。</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4.我方完全理解和接受贵方竞争性谈判文件的一切规定和要求及谈判评审办法。</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5.在整个竞争性谈判过程中，我方若有违规行为，接受按照《中华人民共和国政府采购法》和《竞争性谈判文件》之规定给予惩罚。</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7.我方同意竞争性谈判文件规定。如果我方成为成交供应商，保证在接到成交通知书后，向采购代理机构交纳竞争性谈判文件规定的采购代理服务费。</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pPr>
        <w:snapToGrid w:val="0"/>
        <w:spacing w:line="312" w:lineRule="auto"/>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w:t>
      </w:r>
    </w:p>
    <w:p>
      <w:pPr>
        <w:jc w:val="center"/>
        <w:rPr>
          <w:rFonts w:ascii="方正仿宋_GBK" w:eastAsia="方正仿宋_GBK"/>
          <w:b/>
          <w:szCs w:val="28"/>
        </w:rPr>
      </w:pPr>
      <w:r>
        <w:rPr>
          <w:rFonts w:hint="eastAsia" w:ascii="方正仿宋_GBK" w:eastAsia="方正仿宋_GBK"/>
          <w:b/>
          <w:szCs w:val="28"/>
        </w:rPr>
        <w:t>明细报价表</w:t>
      </w:r>
    </w:p>
    <w:p>
      <w:pPr>
        <w:spacing w:line="360" w:lineRule="auto"/>
        <w:rPr>
          <w:rFonts w:ascii="方正仿宋_GBK" w:hAnsi="宋体" w:eastAsia="方正仿宋_GBK"/>
          <w:sz w:val="24"/>
          <w:szCs w:val="24"/>
        </w:rPr>
      </w:pPr>
      <w:r>
        <w:rPr>
          <w:rFonts w:hint="eastAsia" w:ascii="方正仿宋_GBK" w:hAnsi="宋体" w:eastAsia="方正仿宋_GBK"/>
          <w:sz w:val="24"/>
          <w:szCs w:val="24"/>
        </w:rPr>
        <w:t>谈判项目编号：</w:t>
      </w:r>
    </w:p>
    <w:p>
      <w:pPr>
        <w:spacing w:line="360" w:lineRule="auto"/>
        <w:rPr>
          <w:rFonts w:ascii="方正仿宋_GBK" w:hAnsi="宋体" w:eastAsia="方正仿宋_GBK"/>
          <w:sz w:val="24"/>
          <w:szCs w:val="24"/>
          <w:u w:val="single"/>
        </w:rPr>
      </w:pPr>
      <w:r>
        <w:rPr>
          <w:rFonts w:hint="eastAsia" w:ascii="方正仿宋_GBK" w:hAnsi="宋体" w:eastAsia="方正仿宋_GBK"/>
          <w:sz w:val="24"/>
          <w:szCs w:val="24"/>
        </w:rPr>
        <w:t>项目名称：</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648"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pPr>
              <w:pStyle w:val="7"/>
              <w:jc w:val="center"/>
              <w:rPr>
                <w:rFonts w:ascii="方正仿宋_GBK" w:hAnsi="宋体" w:eastAsia="方正仿宋_GBK"/>
                <w:sz w:val="24"/>
                <w:szCs w:val="28"/>
              </w:rPr>
            </w:pPr>
            <w:r>
              <w:rPr>
                <w:rFonts w:hint="eastAsia" w:ascii="方正仿宋_GBK" w:hAnsi="宋体" w:eastAsia="方正仿宋_GBK"/>
                <w:sz w:val="24"/>
                <w:szCs w:val="28"/>
              </w:rPr>
              <w:t>单价</w:t>
            </w:r>
          </w:p>
          <w:p>
            <w:pPr>
              <w:pStyle w:val="7"/>
              <w:jc w:val="center"/>
              <w:rPr>
                <w:rFonts w:ascii="方正仿宋_GBK" w:hAnsi="宋体" w:eastAsia="方正仿宋_GBK"/>
                <w:sz w:val="24"/>
                <w:szCs w:val="28"/>
              </w:rPr>
            </w:pPr>
            <w:r>
              <w:rPr>
                <w:rFonts w:hint="eastAsia" w:ascii="方正仿宋_GBK" w:hAnsi="宋体" w:eastAsia="方正仿宋_GBK"/>
                <w:sz w:val="24"/>
                <w:szCs w:val="28"/>
              </w:rPr>
              <w:t>（   ）</w:t>
            </w:r>
          </w:p>
        </w:tc>
        <w:tc>
          <w:tcPr>
            <w:tcW w:w="1233" w:type="dxa"/>
            <w:vAlign w:val="center"/>
          </w:tcPr>
          <w:p>
            <w:pPr>
              <w:jc w:val="center"/>
              <w:rPr>
                <w:rFonts w:ascii="方正仿宋_GBK" w:hAnsi="宋体" w:eastAsia="方正仿宋_GBK"/>
                <w:sz w:val="24"/>
                <w:szCs w:val="28"/>
              </w:rPr>
            </w:pPr>
            <w:r>
              <w:rPr>
                <w:rFonts w:hint="eastAsia" w:ascii="方正仿宋_GBK" w:hAnsi="宋体" w:eastAsia="方正仿宋_GBK"/>
                <w:sz w:val="24"/>
                <w:szCs w:val="28"/>
              </w:rPr>
              <w:t>合计</w:t>
            </w:r>
          </w:p>
          <w:p>
            <w:pPr>
              <w:jc w:val="center"/>
              <w:rPr>
                <w:rFonts w:ascii="方正仿宋_GBK" w:hAnsi="宋体" w:eastAsia="方正仿宋_GBK"/>
                <w:sz w:val="24"/>
                <w:szCs w:val="28"/>
              </w:rPr>
            </w:pPr>
            <w:r>
              <w:rPr>
                <w:rFonts w:hint="eastAsia" w:ascii="方正仿宋_GBK" w:hAnsi="宋体" w:eastAsia="方正仿宋_GBK"/>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pPr>
              <w:jc w:val="center"/>
              <w:rPr>
                <w:rFonts w:ascii="方正仿宋_GBK" w:hAnsi="宋体" w:eastAsia="方正仿宋_GBK"/>
                <w:sz w:val="24"/>
                <w:szCs w:val="28"/>
              </w:rPr>
            </w:pPr>
          </w:p>
        </w:tc>
        <w:tc>
          <w:tcPr>
            <w:tcW w:w="1721" w:type="dxa"/>
            <w:tcBorders>
              <w:bottom w:val="single" w:color="auto" w:sz="4" w:space="0"/>
            </w:tcBorders>
            <w:vAlign w:val="center"/>
          </w:tcPr>
          <w:p>
            <w:pPr>
              <w:jc w:val="center"/>
              <w:rPr>
                <w:rFonts w:ascii="方正仿宋_GBK" w:hAnsi="宋体" w:eastAsia="方正仿宋_GBK"/>
                <w:sz w:val="24"/>
                <w:szCs w:val="28"/>
              </w:rPr>
            </w:pPr>
          </w:p>
        </w:tc>
        <w:tc>
          <w:tcPr>
            <w:tcW w:w="1417" w:type="dxa"/>
            <w:tcBorders>
              <w:bottom w:val="single" w:color="auto" w:sz="4" w:space="0"/>
            </w:tcBorders>
            <w:vAlign w:val="center"/>
          </w:tcPr>
          <w:p>
            <w:pPr>
              <w:jc w:val="center"/>
              <w:rPr>
                <w:rFonts w:ascii="方正仿宋_GBK" w:hAnsi="宋体" w:eastAsia="方正仿宋_GBK"/>
                <w:sz w:val="24"/>
                <w:szCs w:val="28"/>
              </w:rPr>
            </w:pPr>
          </w:p>
        </w:tc>
        <w:tc>
          <w:tcPr>
            <w:tcW w:w="1250" w:type="dxa"/>
            <w:tcBorders>
              <w:bottom w:val="single" w:color="auto" w:sz="4" w:space="0"/>
            </w:tcBorders>
            <w:vAlign w:val="center"/>
          </w:tcPr>
          <w:p>
            <w:pPr>
              <w:jc w:val="center"/>
              <w:rPr>
                <w:rFonts w:ascii="方正仿宋_GBK" w:hAnsi="宋体" w:eastAsia="方正仿宋_GBK"/>
                <w:sz w:val="24"/>
                <w:szCs w:val="28"/>
              </w:rPr>
            </w:pPr>
          </w:p>
        </w:tc>
        <w:tc>
          <w:tcPr>
            <w:tcW w:w="867" w:type="dxa"/>
            <w:tcBorders>
              <w:bottom w:val="single" w:color="auto" w:sz="4" w:space="0"/>
            </w:tcBorders>
            <w:vAlign w:val="center"/>
          </w:tcPr>
          <w:p>
            <w:pPr>
              <w:jc w:val="center"/>
              <w:rPr>
                <w:rFonts w:ascii="方正仿宋_GBK" w:hAnsi="宋体" w:eastAsia="方正仿宋_GBK"/>
                <w:sz w:val="24"/>
                <w:szCs w:val="28"/>
              </w:rPr>
            </w:pPr>
          </w:p>
        </w:tc>
        <w:tc>
          <w:tcPr>
            <w:tcW w:w="1186" w:type="dxa"/>
            <w:tcBorders>
              <w:bottom w:val="single" w:color="auto" w:sz="4" w:space="0"/>
            </w:tcBorders>
            <w:vAlign w:val="center"/>
          </w:tcPr>
          <w:p>
            <w:pPr>
              <w:jc w:val="center"/>
              <w:rPr>
                <w:rFonts w:ascii="方正仿宋_GBK" w:hAnsi="宋体" w:eastAsia="方正仿宋_GBK"/>
                <w:sz w:val="24"/>
                <w:szCs w:val="28"/>
              </w:rPr>
            </w:pPr>
          </w:p>
        </w:tc>
        <w:tc>
          <w:tcPr>
            <w:tcW w:w="1233" w:type="dxa"/>
            <w:tcBorders>
              <w:bottom w:val="single" w:color="auto" w:sz="4" w:space="0"/>
            </w:tcBorders>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648" w:type="dxa"/>
            <w:vAlign w:val="center"/>
          </w:tcPr>
          <w:p>
            <w:pPr>
              <w:jc w:val="center"/>
              <w:rPr>
                <w:rFonts w:ascii="方正仿宋_GBK" w:hAnsi="宋体" w:eastAsia="方正仿宋_GBK"/>
                <w:sz w:val="24"/>
                <w:szCs w:val="28"/>
              </w:rPr>
            </w:pPr>
          </w:p>
        </w:tc>
        <w:tc>
          <w:tcPr>
            <w:tcW w:w="1721" w:type="dxa"/>
            <w:vAlign w:val="center"/>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250" w:type="dxa"/>
            <w:vAlign w:val="center"/>
          </w:tcPr>
          <w:p>
            <w:pPr>
              <w:jc w:val="center"/>
              <w:rPr>
                <w:rFonts w:ascii="方正仿宋_GBK" w:hAnsi="宋体" w:eastAsia="方正仿宋_GBK"/>
                <w:sz w:val="24"/>
                <w:szCs w:val="28"/>
              </w:rPr>
            </w:pPr>
          </w:p>
        </w:tc>
        <w:tc>
          <w:tcPr>
            <w:tcW w:w="867" w:type="dxa"/>
            <w:vAlign w:val="center"/>
          </w:tcPr>
          <w:p>
            <w:pPr>
              <w:jc w:val="center"/>
              <w:rPr>
                <w:rFonts w:ascii="方正仿宋_GBK" w:hAnsi="宋体" w:eastAsia="方正仿宋_GBK"/>
                <w:sz w:val="24"/>
                <w:szCs w:val="28"/>
              </w:rPr>
            </w:pPr>
          </w:p>
        </w:tc>
        <w:tc>
          <w:tcPr>
            <w:tcW w:w="1186" w:type="dxa"/>
            <w:vAlign w:val="center"/>
          </w:tcPr>
          <w:p>
            <w:pPr>
              <w:jc w:val="center"/>
              <w:rPr>
                <w:rFonts w:ascii="方正仿宋_GBK" w:hAnsi="宋体" w:eastAsia="方正仿宋_GBK"/>
                <w:sz w:val="24"/>
                <w:szCs w:val="28"/>
              </w:rPr>
            </w:pPr>
          </w:p>
        </w:tc>
        <w:tc>
          <w:tcPr>
            <w:tcW w:w="1233" w:type="dxa"/>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648" w:type="dxa"/>
            <w:vAlign w:val="center"/>
          </w:tcPr>
          <w:p>
            <w:pPr>
              <w:jc w:val="center"/>
              <w:rPr>
                <w:rFonts w:ascii="方正仿宋_GBK" w:hAnsi="宋体" w:eastAsia="方正仿宋_GBK"/>
                <w:sz w:val="24"/>
                <w:szCs w:val="28"/>
              </w:rPr>
            </w:pPr>
          </w:p>
        </w:tc>
        <w:tc>
          <w:tcPr>
            <w:tcW w:w="1721" w:type="dxa"/>
            <w:vAlign w:val="center"/>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250" w:type="dxa"/>
            <w:vAlign w:val="center"/>
          </w:tcPr>
          <w:p>
            <w:pPr>
              <w:jc w:val="center"/>
              <w:rPr>
                <w:rFonts w:ascii="方正仿宋_GBK" w:hAnsi="宋体" w:eastAsia="方正仿宋_GBK"/>
                <w:sz w:val="24"/>
                <w:szCs w:val="28"/>
              </w:rPr>
            </w:pPr>
          </w:p>
        </w:tc>
        <w:tc>
          <w:tcPr>
            <w:tcW w:w="867" w:type="dxa"/>
            <w:vAlign w:val="center"/>
          </w:tcPr>
          <w:p>
            <w:pPr>
              <w:jc w:val="center"/>
              <w:rPr>
                <w:rFonts w:ascii="方正仿宋_GBK" w:hAnsi="宋体" w:eastAsia="方正仿宋_GBK"/>
                <w:sz w:val="24"/>
                <w:szCs w:val="28"/>
              </w:rPr>
            </w:pPr>
          </w:p>
        </w:tc>
        <w:tc>
          <w:tcPr>
            <w:tcW w:w="1186" w:type="dxa"/>
            <w:vAlign w:val="center"/>
          </w:tcPr>
          <w:p>
            <w:pPr>
              <w:jc w:val="center"/>
              <w:rPr>
                <w:rFonts w:ascii="方正仿宋_GBK" w:hAnsi="宋体" w:eastAsia="方正仿宋_GBK"/>
                <w:sz w:val="24"/>
                <w:szCs w:val="28"/>
              </w:rPr>
            </w:pPr>
          </w:p>
        </w:tc>
        <w:tc>
          <w:tcPr>
            <w:tcW w:w="1233" w:type="dxa"/>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pPr>
              <w:jc w:val="center"/>
              <w:rPr>
                <w:rFonts w:ascii="方正仿宋_GBK" w:hAnsi="宋体" w:eastAsia="方正仿宋_GBK"/>
                <w:sz w:val="24"/>
                <w:szCs w:val="28"/>
              </w:rPr>
            </w:pPr>
          </w:p>
        </w:tc>
        <w:tc>
          <w:tcPr>
            <w:tcW w:w="1721" w:type="dxa"/>
            <w:tcBorders>
              <w:bottom w:val="single" w:color="auto" w:sz="4" w:space="0"/>
            </w:tcBorders>
            <w:vAlign w:val="center"/>
          </w:tcPr>
          <w:p>
            <w:pPr>
              <w:jc w:val="center"/>
              <w:rPr>
                <w:rFonts w:ascii="方正仿宋_GBK" w:hAnsi="宋体" w:eastAsia="方正仿宋_GBK"/>
                <w:sz w:val="24"/>
                <w:szCs w:val="28"/>
              </w:rPr>
            </w:pPr>
          </w:p>
        </w:tc>
        <w:tc>
          <w:tcPr>
            <w:tcW w:w="1417" w:type="dxa"/>
            <w:tcBorders>
              <w:bottom w:val="single" w:color="auto" w:sz="4" w:space="0"/>
            </w:tcBorders>
            <w:vAlign w:val="center"/>
          </w:tcPr>
          <w:p>
            <w:pPr>
              <w:jc w:val="center"/>
              <w:rPr>
                <w:rFonts w:ascii="方正仿宋_GBK" w:hAnsi="宋体" w:eastAsia="方正仿宋_GBK"/>
                <w:sz w:val="24"/>
                <w:szCs w:val="28"/>
              </w:rPr>
            </w:pPr>
          </w:p>
        </w:tc>
        <w:tc>
          <w:tcPr>
            <w:tcW w:w="1250" w:type="dxa"/>
            <w:tcBorders>
              <w:bottom w:val="single" w:color="auto" w:sz="4" w:space="0"/>
            </w:tcBorders>
            <w:vAlign w:val="center"/>
          </w:tcPr>
          <w:p>
            <w:pPr>
              <w:jc w:val="center"/>
              <w:rPr>
                <w:rFonts w:ascii="方正仿宋_GBK" w:hAnsi="宋体" w:eastAsia="方正仿宋_GBK"/>
                <w:sz w:val="24"/>
                <w:szCs w:val="28"/>
              </w:rPr>
            </w:pPr>
          </w:p>
        </w:tc>
        <w:tc>
          <w:tcPr>
            <w:tcW w:w="867" w:type="dxa"/>
            <w:tcBorders>
              <w:bottom w:val="single" w:color="auto" w:sz="4" w:space="0"/>
            </w:tcBorders>
            <w:vAlign w:val="center"/>
          </w:tcPr>
          <w:p>
            <w:pPr>
              <w:jc w:val="center"/>
              <w:rPr>
                <w:rFonts w:ascii="方正仿宋_GBK" w:hAnsi="宋体" w:eastAsia="方正仿宋_GBK"/>
                <w:sz w:val="24"/>
                <w:szCs w:val="28"/>
              </w:rPr>
            </w:pPr>
          </w:p>
        </w:tc>
        <w:tc>
          <w:tcPr>
            <w:tcW w:w="1186" w:type="dxa"/>
            <w:tcBorders>
              <w:bottom w:val="single" w:color="auto" w:sz="4" w:space="0"/>
            </w:tcBorders>
            <w:vAlign w:val="center"/>
          </w:tcPr>
          <w:p>
            <w:pPr>
              <w:jc w:val="center"/>
              <w:rPr>
                <w:rFonts w:ascii="方正仿宋_GBK" w:hAnsi="宋体" w:eastAsia="方正仿宋_GBK"/>
                <w:sz w:val="24"/>
                <w:szCs w:val="28"/>
              </w:rPr>
            </w:pPr>
          </w:p>
        </w:tc>
        <w:tc>
          <w:tcPr>
            <w:tcW w:w="1233" w:type="dxa"/>
            <w:tcBorders>
              <w:bottom w:val="single" w:color="auto" w:sz="4" w:space="0"/>
            </w:tcBorders>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648" w:type="dxa"/>
            <w:vAlign w:val="center"/>
          </w:tcPr>
          <w:p>
            <w:pPr>
              <w:jc w:val="center"/>
              <w:rPr>
                <w:rFonts w:ascii="方正仿宋_GBK" w:hAnsi="宋体" w:eastAsia="方正仿宋_GBK"/>
                <w:sz w:val="24"/>
                <w:szCs w:val="28"/>
              </w:rPr>
            </w:pPr>
          </w:p>
          <w:p>
            <w:pPr>
              <w:jc w:val="center"/>
              <w:rPr>
                <w:rFonts w:ascii="方正仿宋_GBK" w:hAnsi="宋体" w:eastAsia="方正仿宋_GBK"/>
                <w:sz w:val="24"/>
                <w:szCs w:val="28"/>
              </w:rPr>
            </w:pPr>
          </w:p>
        </w:tc>
        <w:tc>
          <w:tcPr>
            <w:tcW w:w="1721" w:type="dxa"/>
            <w:vAlign w:val="center"/>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250" w:type="dxa"/>
            <w:vAlign w:val="center"/>
          </w:tcPr>
          <w:p>
            <w:pPr>
              <w:jc w:val="center"/>
              <w:rPr>
                <w:rFonts w:ascii="方正仿宋_GBK" w:hAnsi="宋体" w:eastAsia="方正仿宋_GBK"/>
                <w:sz w:val="24"/>
                <w:szCs w:val="28"/>
              </w:rPr>
            </w:pPr>
          </w:p>
        </w:tc>
        <w:tc>
          <w:tcPr>
            <w:tcW w:w="867" w:type="dxa"/>
            <w:vAlign w:val="center"/>
          </w:tcPr>
          <w:p>
            <w:pPr>
              <w:jc w:val="center"/>
              <w:rPr>
                <w:rFonts w:ascii="方正仿宋_GBK" w:hAnsi="宋体" w:eastAsia="方正仿宋_GBK"/>
                <w:sz w:val="24"/>
                <w:szCs w:val="28"/>
              </w:rPr>
            </w:pPr>
          </w:p>
        </w:tc>
        <w:tc>
          <w:tcPr>
            <w:tcW w:w="1186" w:type="dxa"/>
            <w:vAlign w:val="center"/>
          </w:tcPr>
          <w:p>
            <w:pPr>
              <w:jc w:val="center"/>
              <w:rPr>
                <w:rFonts w:ascii="方正仿宋_GBK" w:hAnsi="宋体" w:eastAsia="方正仿宋_GBK"/>
                <w:sz w:val="24"/>
                <w:szCs w:val="28"/>
              </w:rPr>
            </w:pPr>
          </w:p>
        </w:tc>
        <w:tc>
          <w:tcPr>
            <w:tcW w:w="1233" w:type="dxa"/>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648" w:type="dxa"/>
            <w:vAlign w:val="center"/>
          </w:tcPr>
          <w:p>
            <w:pPr>
              <w:jc w:val="center"/>
              <w:rPr>
                <w:rFonts w:ascii="方正仿宋_GBK" w:hAnsi="宋体" w:eastAsia="方正仿宋_GBK"/>
                <w:sz w:val="24"/>
                <w:szCs w:val="28"/>
              </w:rPr>
            </w:pPr>
          </w:p>
        </w:tc>
        <w:tc>
          <w:tcPr>
            <w:tcW w:w="1721" w:type="dxa"/>
            <w:vAlign w:val="center"/>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250" w:type="dxa"/>
            <w:vAlign w:val="center"/>
          </w:tcPr>
          <w:p>
            <w:pPr>
              <w:jc w:val="center"/>
              <w:rPr>
                <w:rFonts w:ascii="方正仿宋_GBK" w:hAnsi="宋体" w:eastAsia="方正仿宋_GBK"/>
                <w:sz w:val="24"/>
                <w:szCs w:val="28"/>
              </w:rPr>
            </w:pPr>
          </w:p>
        </w:tc>
        <w:tc>
          <w:tcPr>
            <w:tcW w:w="867" w:type="dxa"/>
            <w:vAlign w:val="center"/>
          </w:tcPr>
          <w:p>
            <w:pPr>
              <w:jc w:val="center"/>
              <w:rPr>
                <w:rFonts w:ascii="方正仿宋_GBK" w:hAnsi="宋体" w:eastAsia="方正仿宋_GBK"/>
                <w:sz w:val="24"/>
                <w:szCs w:val="28"/>
              </w:rPr>
            </w:pPr>
          </w:p>
        </w:tc>
        <w:tc>
          <w:tcPr>
            <w:tcW w:w="1186" w:type="dxa"/>
            <w:vAlign w:val="center"/>
          </w:tcPr>
          <w:p>
            <w:pPr>
              <w:jc w:val="center"/>
              <w:rPr>
                <w:rFonts w:ascii="方正仿宋_GBK" w:hAnsi="宋体" w:eastAsia="方正仿宋_GBK"/>
                <w:sz w:val="24"/>
                <w:szCs w:val="28"/>
              </w:rPr>
            </w:pPr>
          </w:p>
        </w:tc>
        <w:tc>
          <w:tcPr>
            <w:tcW w:w="1233" w:type="dxa"/>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48" w:type="dxa"/>
            <w:vAlign w:val="center"/>
          </w:tcPr>
          <w:p>
            <w:pPr>
              <w:jc w:val="center"/>
              <w:rPr>
                <w:rFonts w:ascii="方正仿宋_GBK" w:hAnsi="宋体" w:eastAsia="方正仿宋_GBK"/>
                <w:sz w:val="24"/>
                <w:szCs w:val="28"/>
              </w:rPr>
            </w:pPr>
          </w:p>
        </w:tc>
        <w:tc>
          <w:tcPr>
            <w:tcW w:w="1721" w:type="dxa"/>
            <w:vAlign w:val="center"/>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250" w:type="dxa"/>
            <w:vAlign w:val="center"/>
          </w:tcPr>
          <w:p>
            <w:pPr>
              <w:jc w:val="center"/>
              <w:rPr>
                <w:rFonts w:ascii="方正仿宋_GBK" w:hAnsi="宋体" w:eastAsia="方正仿宋_GBK"/>
                <w:sz w:val="24"/>
                <w:szCs w:val="28"/>
              </w:rPr>
            </w:pPr>
          </w:p>
        </w:tc>
        <w:tc>
          <w:tcPr>
            <w:tcW w:w="867" w:type="dxa"/>
            <w:vAlign w:val="center"/>
          </w:tcPr>
          <w:p>
            <w:pPr>
              <w:jc w:val="center"/>
              <w:rPr>
                <w:rFonts w:ascii="方正仿宋_GBK" w:hAnsi="宋体" w:eastAsia="方正仿宋_GBK"/>
                <w:sz w:val="24"/>
                <w:szCs w:val="28"/>
              </w:rPr>
            </w:pPr>
          </w:p>
        </w:tc>
        <w:tc>
          <w:tcPr>
            <w:tcW w:w="1186" w:type="dxa"/>
            <w:vAlign w:val="center"/>
          </w:tcPr>
          <w:p>
            <w:pPr>
              <w:jc w:val="center"/>
              <w:rPr>
                <w:rFonts w:ascii="方正仿宋_GBK" w:hAnsi="宋体" w:eastAsia="方正仿宋_GBK"/>
                <w:sz w:val="24"/>
                <w:szCs w:val="28"/>
              </w:rPr>
            </w:pPr>
          </w:p>
        </w:tc>
        <w:tc>
          <w:tcPr>
            <w:tcW w:w="1233" w:type="dxa"/>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648" w:type="dxa"/>
            <w:vAlign w:val="center"/>
          </w:tcPr>
          <w:p>
            <w:pPr>
              <w:jc w:val="center"/>
              <w:rPr>
                <w:rFonts w:ascii="方正仿宋_GBK" w:hAnsi="宋体" w:eastAsia="方正仿宋_GBK"/>
                <w:sz w:val="24"/>
                <w:szCs w:val="28"/>
              </w:rPr>
            </w:pPr>
          </w:p>
        </w:tc>
        <w:tc>
          <w:tcPr>
            <w:tcW w:w="1721" w:type="dxa"/>
            <w:vAlign w:val="center"/>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250" w:type="dxa"/>
            <w:vAlign w:val="center"/>
          </w:tcPr>
          <w:p>
            <w:pPr>
              <w:jc w:val="center"/>
              <w:rPr>
                <w:rFonts w:ascii="方正仿宋_GBK" w:hAnsi="宋体" w:eastAsia="方正仿宋_GBK"/>
                <w:sz w:val="24"/>
                <w:szCs w:val="28"/>
              </w:rPr>
            </w:pPr>
          </w:p>
        </w:tc>
        <w:tc>
          <w:tcPr>
            <w:tcW w:w="867" w:type="dxa"/>
            <w:vAlign w:val="center"/>
          </w:tcPr>
          <w:p>
            <w:pPr>
              <w:jc w:val="center"/>
              <w:rPr>
                <w:rFonts w:ascii="方正仿宋_GBK" w:hAnsi="宋体" w:eastAsia="方正仿宋_GBK"/>
                <w:sz w:val="24"/>
                <w:szCs w:val="28"/>
              </w:rPr>
            </w:pPr>
          </w:p>
        </w:tc>
        <w:tc>
          <w:tcPr>
            <w:tcW w:w="1186" w:type="dxa"/>
            <w:vAlign w:val="center"/>
          </w:tcPr>
          <w:p>
            <w:pPr>
              <w:jc w:val="center"/>
              <w:rPr>
                <w:rFonts w:ascii="方正仿宋_GBK" w:hAnsi="宋体" w:eastAsia="方正仿宋_GBK"/>
                <w:sz w:val="24"/>
                <w:szCs w:val="28"/>
              </w:rPr>
            </w:pPr>
          </w:p>
        </w:tc>
        <w:tc>
          <w:tcPr>
            <w:tcW w:w="1233" w:type="dxa"/>
            <w:vAlign w:val="center"/>
          </w:tcPr>
          <w:p>
            <w:pPr>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648" w:type="dxa"/>
            <w:vAlign w:val="center"/>
          </w:tcPr>
          <w:p>
            <w:pPr>
              <w:jc w:val="center"/>
              <w:rPr>
                <w:rFonts w:ascii="方正仿宋_GBK" w:hAnsi="宋体" w:eastAsia="方正仿宋_GBK"/>
                <w:sz w:val="24"/>
                <w:szCs w:val="28"/>
              </w:rPr>
            </w:pPr>
          </w:p>
        </w:tc>
        <w:tc>
          <w:tcPr>
            <w:tcW w:w="1721" w:type="dxa"/>
            <w:vAlign w:val="center"/>
          </w:tcPr>
          <w:p>
            <w:pPr>
              <w:jc w:val="center"/>
              <w:rPr>
                <w:rFonts w:ascii="方正仿宋_GBK" w:hAnsi="宋体" w:eastAsia="方正仿宋_GBK"/>
                <w:sz w:val="24"/>
                <w:szCs w:val="28"/>
              </w:rPr>
            </w:pPr>
          </w:p>
        </w:tc>
        <w:tc>
          <w:tcPr>
            <w:tcW w:w="1417" w:type="dxa"/>
            <w:vAlign w:val="center"/>
          </w:tcPr>
          <w:p>
            <w:pPr>
              <w:jc w:val="center"/>
              <w:rPr>
                <w:rFonts w:ascii="方正仿宋_GBK" w:hAnsi="宋体" w:eastAsia="方正仿宋_GBK"/>
                <w:sz w:val="24"/>
                <w:szCs w:val="28"/>
              </w:rPr>
            </w:pPr>
          </w:p>
        </w:tc>
        <w:tc>
          <w:tcPr>
            <w:tcW w:w="1250" w:type="dxa"/>
            <w:vAlign w:val="center"/>
          </w:tcPr>
          <w:p>
            <w:pPr>
              <w:jc w:val="center"/>
              <w:rPr>
                <w:rFonts w:ascii="方正仿宋_GBK" w:hAnsi="宋体" w:eastAsia="方正仿宋_GBK"/>
                <w:sz w:val="24"/>
                <w:szCs w:val="28"/>
              </w:rPr>
            </w:pPr>
          </w:p>
        </w:tc>
        <w:tc>
          <w:tcPr>
            <w:tcW w:w="867" w:type="dxa"/>
            <w:vAlign w:val="center"/>
          </w:tcPr>
          <w:p>
            <w:pPr>
              <w:jc w:val="center"/>
              <w:rPr>
                <w:rFonts w:ascii="方正仿宋_GBK" w:hAnsi="宋体" w:eastAsia="方正仿宋_GBK"/>
                <w:sz w:val="24"/>
                <w:szCs w:val="28"/>
              </w:rPr>
            </w:pPr>
          </w:p>
        </w:tc>
        <w:tc>
          <w:tcPr>
            <w:tcW w:w="1186" w:type="dxa"/>
            <w:vAlign w:val="center"/>
          </w:tcPr>
          <w:p>
            <w:pPr>
              <w:jc w:val="center"/>
              <w:rPr>
                <w:rFonts w:ascii="方正仿宋_GBK" w:hAnsi="宋体" w:eastAsia="方正仿宋_GBK"/>
                <w:sz w:val="24"/>
                <w:szCs w:val="28"/>
              </w:rPr>
            </w:pPr>
          </w:p>
        </w:tc>
        <w:tc>
          <w:tcPr>
            <w:tcW w:w="1233" w:type="dxa"/>
            <w:vAlign w:val="center"/>
          </w:tcPr>
          <w:p>
            <w:pPr>
              <w:jc w:val="center"/>
              <w:rPr>
                <w:rFonts w:ascii="方正仿宋_GBK" w:hAnsi="宋体" w:eastAsia="方正仿宋_GBK"/>
                <w:sz w:val="24"/>
                <w:szCs w:val="28"/>
              </w:rPr>
            </w:pPr>
          </w:p>
        </w:tc>
      </w:tr>
    </w:tbl>
    <w:p>
      <w:pPr>
        <w:snapToGrid w:val="0"/>
        <w:spacing w:line="500" w:lineRule="exact"/>
        <w:rPr>
          <w:rFonts w:ascii="方正仿宋_GBK" w:hAnsi="宋体" w:eastAsia="方正仿宋_GBK"/>
          <w:sz w:val="24"/>
          <w:szCs w:val="28"/>
        </w:rPr>
      </w:pPr>
    </w:p>
    <w:p>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pPr>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2.该表可扩展</w:t>
      </w:r>
      <w:bookmarkStart w:id="70" w:name="OLE_LINK1"/>
      <w:bookmarkStart w:id="71" w:name="OLE_LINK2"/>
      <w:r>
        <w:rPr>
          <w:rFonts w:hint="eastAsia" w:ascii="方正仿宋_GBK" w:hAnsi="宋体" w:eastAsia="方正仿宋_GBK"/>
          <w:sz w:val="24"/>
          <w:szCs w:val="28"/>
        </w:rPr>
        <w:t>，并逐页签字或盖章。</w:t>
      </w:r>
      <w:bookmarkEnd w:id="70"/>
      <w:bookmarkEnd w:id="71"/>
    </w:p>
    <w:p>
      <w:pPr>
        <w:snapToGrid w:val="0"/>
        <w:spacing w:line="500" w:lineRule="exact"/>
        <w:rPr>
          <w:rFonts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pPr>
      <w:r>
        <w:rPr>
          <w:rFonts w:hint="eastAsia" w:ascii="方正仿宋_GBK" w:hAnsi="宋体" w:eastAsia="方正仿宋_GBK"/>
          <w:sz w:val="24"/>
          <w:szCs w:val="24"/>
        </w:rPr>
        <w:t xml:space="preserve">                                                    供应商名称（公章）：</w:t>
      </w:r>
    </w:p>
    <w:p>
      <w:pPr>
        <w:spacing w:line="360" w:lineRule="auto"/>
        <w:ind w:right="480" w:firstLine="6480" w:firstLineChars="2700"/>
        <w:rPr>
          <w:rFonts w:ascii="方正仿宋_GBK" w:hAnsi="宋体" w:eastAsia="方正仿宋_GBK"/>
          <w:sz w:val="24"/>
          <w:szCs w:val="24"/>
        </w:rPr>
      </w:pPr>
      <w:r>
        <w:rPr>
          <w:rFonts w:hint="eastAsia" w:ascii="方正仿宋_GBK" w:hAnsi="宋体" w:eastAsia="方正仿宋_GBK"/>
          <w:sz w:val="24"/>
          <w:szCs w:val="24"/>
        </w:rPr>
        <w:t>年     月    日</w:t>
      </w:r>
    </w:p>
    <w:p>
      <w:pPr>
        <w:snapToGrid w:val="0"/>
        <w:spacing w:line="360" w:lineRule="auto"/>
        <w:ind w:firstLine="480" w:firstLineChars="200"/>
        <w:rPr>
          <w:rFonts w:ascii="方正仿宋_GBK" w:hAnsi="宋体" w:eastAsia="方正仿宋_GBK"/>
          <w:sz w:val="24"/>
          <w:szCs w:val="24"/>
          <w:bdr w:val="single" w:color="auto" w:sz="4" w:space="0"/>
        </w:rPr>
        <w:sectPr>
          <w:headerReference r:id="rId7" w:type="default"/>
          <w:pgSz w:w="11907" w:h="16840"/>
          <w:pgMar w:top="1134" w:right="1191" w:bottom="1134" w:left="1304" w:header="851" w:footer="992" w:gutter="0"/>
          <w:pgNumType w:fmt="numberInDash"/>
          <w:cols w:space="720" w:num="1"/>
          <w:docGrid w:linePitch="380" w:charSpace="-5735"/>
        </w:sectPr>
      </w:pPr>
    </w:p>
    <w:p>
      <w:pPr>
        <w:pStyle w:val="3"/>
        <w:spacing w:line="360" w:lineRule="auto"/>
        <w:rPr>
          <w:rFonts w:ascii="方正仿宋_GBK" w:hAnsi="宋体" w:eastAsia="方正仿宋_GBK"/>
          <w:sz w:val="24"/>
          <w:szCs w:val="24"/>
        </w:rPr>
      </w:pPr>
      <w:bookmarkStart w:id="72" w:name="_Toc313008357"/>
      <w:bookmarkStart w:id="73" w:name="_Toc342913420"/>
      <w:bookmarkStart w:id="74" w:name="_Toc313888361"/>
      <w:bookmarkStart w:id="75" w:name="_Toc511909624"/>
      <w:r>
        <w:rPr>
          <w:rFonts w:hint="eastAsia" w:ascii="方正仿宋_GBK" w:hAnsi="宋体" w:eastAsia="方正仿宋_GBK"/>
          <w:sz w:val="24"/>
          <w:szCs w:val="24"/>
        </w:rPr>
        <w:t>二、技术部分</w:t>
      </w:r>
      <w:bookmarkEnd w:id="72"/>
      <w:bookmarkEnd w:id="73"/>
      <w:bookmarkEnd w:id="74"/>
      <w:bookmarkEnd w:id="75"/>
    </w:p>
    <w:p>
      <w:pPr>
        <w:snapToGrid w:val="0"/>
        <w:spacing w:line="360" w:lineRule="auto"/>
        <w:jc w:val="center"/>
        <w:rPr>
          <w:rFonts w:ascii="方正仿宋_GBK" w:hAnsi="宋体" w:eastAsia="方正仿宋_GBK"/>
          <w:b/>
          <w:szCs w:val="28"/>
        </w:rPr>
      </w:pPr>
      <w:r>
        <w:rPr>
          <w:rFonts w:hint="eastAsia" w:ascii="方正仿宋_GBK" w:hAnsi="宋体" w:eastAsia="方正仿宋_GBK"/>
          <w:b/>
          <w:szCs w:val="28"/>
        </w:rPr>
        <w:t>技术响应偏离表</w:t>
      </w:r>
    </w:p>
    <w:p>
      <w:pPr>
        <w:pStyle w:val="7"/>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谈判项目名称：</w:t>
      </w:r>
    </w:p>
    <w:tbl>
      <w:tblPr>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2" w:hRule="atLeast"/>
          <w:jc w:val="center"/>
        </w:trPr>
        <w:tc>
          <w:tcPr>
            <w:tcW w:w="1218" w:type="dxa"/>
            <w:vAlign w:val="center"/>
          </w:tcPr>
          <w:p>
            <w:pPr>
              <w:tabs>
                <w:tab w:val="left" w:pos="6300"/>
              </w:tabs>
              <w:snapToGrid w:val="0"/>
              <w:jc w:val="center"/>
              <w:outlineLvl w:val="0"/>
              <w:rPr>
                <w:rFonts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pPr>
              <w:tabs>
                <w:tab w:val="left" w:pos="6300"/>
              </w:tabs>
              <w:snapToGrid w:val="0"/>
              <w:jc w:val="center"/>
              <w:outlineLvl w:val="0"/>
              <w:rPr>
                <w:rFonts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pPr>
              <w:tabs>
                <w:tab w:val="left" w:pos="6300"/>
              </w:tabs>
              <w:snapToGrid w:val="0"/>
              <w:jc w:val="center"/>
              <w:outlineLvl w:val="0"/>
              <w:rPr>
                <w:rFonts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pPr>
              <w:tabs>
                <w:tab w:val="left" w:pos="6300"/>
              </w:tabs>
              <w:snapToGrid w:val="0"/>
              <w:jc w:val="center"/>
              <w:outlineLvl w:val="0"/>
              <w:rPr>
                <w:rFonts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方正仿宋_GBK" w:hAnsi="宋体" w:eastAsia="方正仿宋_GBK"/>
                <w:sz w:val="21"/>
                <w:szCs w:val="21"/>
              </w:rPr>
            </w:pPr>
          </w:p>
        </w:tc>
        <w:tc>
          <w:tcPr>
            <w:tcW w:w="2844" w:type="dxa"/>
            <w:vAlign w:val="center"/>
          </w:tcPr>
          <w:p>
            <w:pPr>
              <w:tabs>
                <w:tab w:val="left" w:pos="6300"/>
              </w:tabs>
              <w:snapToGrid w:val="0"/>
              <w:jc w:val="center"/>
              <w:outlineLvl w:val="0"/>
              <w:rPr>
                <w:rFonts w:ascii="方正仿宋_GBK" w:hAnsi="宋体" w:eastAsia="方正仿宋_GBK"/>
                <w:sz w:val="21"/>
                <w:szCs w:val="21"/>
              </w:rPr>
            </w:pPr>
          </w:p>
        </w:tc>
        <w:tc>
          <w:tcPr>
            <w:tcW w:w="2952" w:type="dxa"/>
            <w:vAlign w:val="center"/>
          </w:tcPr>
          <w:p>
            <w:pPr>
              <w:tabs>
                <w:tab w:val="left" w:pos="6300"/>
              </w:tabs>
              <w:snapToGrid w:val="0"/>
              <w:jc w:val="center"/>
              <w:outlineLvl w:val="0"/>
              <w:rPr>
                <w:rFonts w:ascii="方正仿宋_GBK" w:hAnsi="宋体" w:eastAsia="方正仿宋_GBK"/>
                <w:sz w:val="21"/>
                <w:szCs w:val="21"/>
              </w:rPr>
            </w:pPr>
          </w:p>
        </w:tc>
        <w:tc>
          <w:tcPr>
            <w:tcW w:w="2212" w:type="dxa"/>
            <w:vAlign w:val="center"/>
          </w:tcPr>
          <w:p>
            <w:pPr>
              <w:tabs>
                <w:tab w:val="left" w:pos="6300"/>
              </w:tabs>
              <w:snapToGrid w:val="0"/>
              <w:jc w:val="center"/>
              <w:outlineLvl w:val="0"/>
              <w:rPr>
                <w:rFonts w:ascii="方正仿宋_GBK" w:hAnsi="宋体" w:eastAsia="方正仿宋_GBK"/>
                <w:sz w:val="21"/>
                <w:szCs w:val="21"/>
              </w:rPr>
            </w:pPr>
          </w:p>
        </w:tc>
      </w:tr>
    </w:tbl>
    <w:p>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谈判</w:t>
      </w:r>
      <w:r>
        <w:rPr>
          <w:rFonts w:hint="eastAsia" w:ascii="方正仿宋_GBK" w:hAnsi="宋体" w:eastAsia="方正仿宋_GBK"/>
          <w:sz w:val="24"/>
          <w:lang w:val="en-US" w:eastAsia="zh-CN"/>
        </w:rPr>
        <w:t>项目</w:t>
      </w:r>
      <w:r>
        <w:rPr>
          <w:rFonts w:hint="eastAsia" w:ascii="方正仿宋_GBK" w:hAnsi="宋体" w:eastAsia="方正仿宋_GBK"/>
          <w:sz w:val="24"/>
        </w:rPr>
        <w:t>技术需求”中所列技术要求进行比较和响应；</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2.该表必须按照竞争性谈判要求逐条如实填写，若未作实质性参数描述，该供应商将</w:t>
      </w:r>
      <w:r>
        <w:rPr>
          <w:rFonts w:hint="eastAsia" w:ascii="方正仿宋_GBK" w:hAnsi="宋体" w:eastAsia="方正仿宋_GBK"/>
          <w:sz w:val="24"/>
          <w:szCs w:val="24"/>
        </w:rPr>
        <w:t>失去成为成交供应商的资格，仅保留其合格供应商的身份。</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5.根据响应情况在“差异说明”项填写正偏离或负偏离及原因，完全符合的填写“无差异”</w:t>
      </w:r>
      <w:r>
        <w:rPr>
          <w:rFonts w:hint="eastAsia" w:ascii="方正仿宋_GBK" w:hAnsi="宋体" w:eastAsia="方正仿宋_GBK"/>
          <w:sz w:val="24"/>
          <w:szCs w:val="24"/>
        </w:rPr>
        <w:t>。</w:t>
      </w:r>
    </w:p>
    <w:p>
      <w:pPr>
        <w:pStyle w:val="3"/>
        <w:spacing w:line="360" w:lineRule="auto"/>
        <w:rPr>
          <w:rFonts w:ascii="方正仿宋_GBK" w:hAnsi="宋体" w:eastAsia="方正仿宋_GBK"/>
          <w:sz w:val="24"/>
          <w:szCs w:val="24"/>
        </w:rPr>
      </w:pPr>
      <w:r>
        <w:rPr>
          <w:rFonts w:ascii="方正仿宋_GBK" w:eastAsia="方正仿宋_GBK"/>
          <w:b w:val="0"/>
        </w:rPr>
        <w:br w:type="page"/>
      </w:r>
      <w:bookmarkStart w:id="76" w:name="_Toc511909625"/>
      <w:bookmarkStart w:id="77" w:name="_Toc313008358"/>
      <w:bookmarkStart w:id="78" w:name="_Toc313888362"/>
      <w:bookmarkStart w:id="79" w:name="_Toc342913421"/>
      <w:r>
        <w:rPr>
          <w:rFonts w:hint="eastAsia" w:ascii="方正仿宋_GBK" w:hAnsi="宋体" w:eastAsia="方正仿宋_GBK"/>
          <w:sz w:val="24"/>
          <w:szCs w:val="24"/>
        </w:rPr>
        <w:t>三、服务部分</w:t>
      </w:r>
      <w:bookmarkEnd w:id="76"/>
    </w:p>
    <w:p>
      <w:pPr>
        <w:snapToGrid w:val="0"/>
        <w:spacing w:line="360" w:lineRule="auto"/>
        <w:jc w:val="center"/>
        <w:rPr>
          <w:rFonts w:ascii="方正仿宋_GBK" w:hAnsi="宋体" w:eastAsia="方正仿宋_GBK"/>
          <w:b/>
          <w:szCs w:val="28"/>
        </w:rPr>
      </w:pPr>
      <w:r>
        <w:rPr>
          <w:rFonts w:hint="eastAsia" w:ascii="方正仿宋_GBK" w:hAnsi="宋体" w:eastAsia="方正仿宋_GBK"/>
          <w:b/>
          <w:szCs w:val="28"/>
        </w:rPr>
        <w:t>服务响应偏离表</w:t>
      </w:r>
    </w:p>
    <w:p>
      <w:pPr>
        <w:snapToGrid w:val="0"/>
        <w:ind w:firstLine="465"/>
        <w:rPr>
          <w:rFonts w:ascii="方正仿宋_GBK" w:hAnsi="宋体" w:eastAsia="方正仿宋_GBK"/>
          <w:sz w:val="24"/>
          <w:szCs w:val="24"/>
        </w:rPr>
      </w:pPr>
      <w:r>
        <w:rPr>
          <w:rFonts w:hint="eastAsia" w:ascii="方正仿宋_GBK" w:hAnsi="宋体" w:eastAsia="方正仿宋_GBK"/>
          <w:sz w:val="24"/>
        </w:rPr>
        <w:t>谈判项目名称：</w:t>
      </w:r>
    </w:p>
    <w:tbl>
      <w:tblPr>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pPr>
              <w:tabs>
                <w:tab w:val="left" w:pos="6300"/>
              </w:tabs>
              <w:snapToGrid w:val="0"/>
              <w:jc w:val="center"/>
              <w:outlineLvl w:val="0"/>
              <w:rPr>
                <w:rFonts w:ascii="方正仿宋_GBK" w:hAnsi="宋体" w:eastAsia="方正仿宋_GBK"/>
                <w:b/>
                <w:sz w:val="21"/>
                <w:szCs w:val="24"/>
              </w:rPr>
            </w:pPr>
            <w:r>
              <w:rPr>
                <w:rFonts w:hint="eastAsia" w:ascii="方正仿宋_GBK" w:hAnsi="宋体" w:eastAsia="方正仿宋_GBK"/>
                <w:b/>
                <w:sz w:val="21"/>
                <w:szCs w:val="24"/>
              </w:rPr>
              <w:t>谈判项目需求</w:t>
            </w:r>
          </w:p>
        </w:tc>
        <w:tc>
          <w:tcPr>
            <w:tcW w:w="2438" w:type="dxa"/>
            <w:vAlign w:val="center"/>
          </w:tcPr>
          <w:p>
            <w:pPr>
              <w:tabs>
                <w:tab w:val="left" w:pos="6300"/>
              </w:tabs>
              <w:snapToGrid w:val="0"/>
              <w:jc w:val="center"/>
              <w:outlineLvl w:val="0"/>
              <w:rPr>
                <w:rFonts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pPr>
              <w:tabs>
                <w:tab w:val="left" w:pos="6300"/>
              </w:tabs>
              <w:snapToGrid w:val="0"/>
              <w:jc w:val="center"/>
              <w:outlineLvl w:val="0"/>
              <w:rPr>
                <w:rFonts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方正仿宋_GBK" w:hAnsi="宋体" w:eastAsia="方正仿宋_GBK"/>
                <w:sz w:val="21"/>
                <w:szCs w:val="24"/>
              </w:rPr>
            </w:pPr>
          </w:p>
        </w:tc>
        <w:tc>
          <w:tcPr>
            <w:tcW w:w="3184" w:type="dxa"/>
            <w:vAlign w:val="center"/>
          </w:tcPr>
          <w:p>
            <w:pPr>
              <w:tabs>
                <w:tab w:val="left" w:pos="6300"/>
              </w:tabs>
              <w:snapToGrid w:val="0"/>
              <w:jc w:val="center"/>
              <w:outlineLvl w:val="0"/>
              <w:rPr>
                <w:rFonts w:ascii="方正仿宋_GBK" w:hAnsi="宋体" w:eastAsia="方正仿宋_GBK"/>
                <w:sz w:val="21"/>
                <w:szCs w:val="24"/>
              </w:rPr>
            </w:pPr>
          </w:p>
        </w:tc>
        <w:tc>
          <w:tcPr>
            <w:tcW w:w="2438" w:type="dxa"/>
            <w:vAlign w:val="center"/>
          </w:tcPr>
          <w:p>
            <w:pPr>
              <w:tabs>
                <w:tab w:val="left" w:pos="6300"/>
              </w:tabs>
              <w:snapToGrid w:val="0"/>
              <w:jc w:val="center"/>
              <w:outlineLvl w:val="0"/>
              <w:rPr>
                <w:rFonts w:ascii="方正仿宋_GBK" w:hAnsi="宋体" w:eastAsia="方正仿宋_GBK"/>
                <w:sz w:val="21"/>
                <w:szCs w:val="24"/>
              </w:rPr>
            </w:pPr>
          </w:p>
        </w:tc>
        <w:tc>
          <w:tcPr>
            <w:tcW w:w="2359" w:type="dxa"/>
            <w:vAlign w:val="center"/>
          </w:tcPr>
          <w:p>
            <w:pPr>
              <w:tabs>
                <w:tab w:val="left" w:pos="6300"/>
              </w:tabs>
              <w:snapToGrid w:val="0"/>
              <w:jc w:val="center"/>
              <w:outlineLvl w:val="0"/>
              <w:rPr>
                <w:rFonts w:ascii="方正仿宋_GBK" w:hAnsi="宋体" w:eastAsia="方正仿宋_GBK"/>
                <w:sz w:val="21"/>
                <w:szCs w:val="24"/>
              </w:rPr>
            </w:pPr>
          </w:p>
        </w:tc>
      </w:tr>
    </w:tbl>
    <w:p>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1.本表即为对本项目“第四篇 谈判项目服务需求”中所列服务要求进行比较和响应；</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2.该表必须按照竞争性谈判要求逐条如实填写，若未作实质性参数描述，该供应商将失去成为成交供应商的资格，仅保留其合格供应商的身份。</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3.该表可扩展，并逐页签字或盖章；</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 根据响应情况在“差异说明”项填写正偏离或负偏离及原因，完全符合的填写“无差异”。</w:t>
      </w:r>
    </w:p>
    <w:p>
      <w:pPr>
        <w:pStyle w:val="3"/>
        <w:spacing w:line="360" w:lineRule="auto"/>
        <w:rPr>
          <w:rFonts w:ascii="方正仿宋_GBK" w:hAnsi="宋体" w:eastAsia="方正仿宋_GBK"/>
          <w:sz w:val="24"/>
          <w:szCs w:val="24"/>
        </w:rPr>
      </w:pPr>
      <w:bookmarkStart w:id="80" w:name="_Toc511909626"/>
      <w:r>
        <w:rPr>
          <w:rFonts w:hint="eastAsia" w:ascii="方正仿宋_GBK" w:hAnsi="宋体" w:eastAsia="方正仿宋_GBK"/>
          <w:sz w:val="24"/>
          <w:szCs w:val="24"/>
        </w:rPr>
        <w:t>四、</w:t>
      </w:r>
      <w:bookmarkEnd w:id="77"/>
      <w:bookmarkEnd w:id="78"/>
      <w:bookmarkEnd w:id="79"/>
      <w:r>
        <w:rPr>
          <w:rFonts w:hint="eastAsia" w:ascii="方正仿宋_GBK" w:hAnsi="宋体" w:eastAsia="方正仿宋_GBK"/>
          <w:sz w:val="24"/>
          <w:szCs w:val="24"/>
        </w:rPr>
        <w:t>资格条件及其他</w:t>
      </w:r>
      <w:bookmarkEnd w:id="80"/>
      <w:bookmarkStart w:id="81" w:name="_Toc313008359"/>
      <w:bookmarkStart w:id="82" w:name="_Toc313888363"/>
      <w:bookmarkStart w:id="83" w:name="_Toc342913422"/>
    </w:p>
    <w:p>
      <w:pPr>
        <w:tabs>
          <w:tab w:val="left" w:pos="6300"/>
        </w:tabs>
        <w:snapToGrid w:val="0"/>
        <w:spacing w:line="500" w:lineRule="exact"/>
        <w:ind w:firstLine="570"/>
        <w:rPr>
          <w:rFonts w:ascii="方正仿宋_GBK" w:hAnsi="宋体" w:eastAsia="方正仿宋_GBK"/>
        </w:rPr>
      </w:pPr>
      <w:r>
        <w:rPr>
          <w:rFonts w:hint="eastAsia" w:ascii="方正仿宋_GBK" w:hAnsi="宋体" w:eastAsia="方正仿宋_GBK"/>
        </w:rPr>
        <w:t>（一）营业执照（副本）</w:t>
      </w:r>
      <w:r>
        <w:rPr>
          <w:rFonts w:hint="eastAsia" w:ascii="方正仿宋_GBK" w:hAnsi="宋体" w:eastAsia="方正仿宋_GBK"/>
          <w:szCs w:val="28"/>
        </w:rPr>
        <w:t>或事业单位法人证书（副本）</w:t>
      </w:r>
      <w:r>
        <w:rPr>
          <w:rFonts w:hint="eastAsia" w:ascii="方正仿宋_GBK" w:hAnsi="宋体" w:eastAsia="方正仿宋_GBK"/>
        </w:rPr>
        <w:t>复印件</w:t>
      </w: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r>
        <w:rPr>
          <w:rFonts w:hint="eastAsia" w:ascii="方正仿宋_GBK" w:hAnsi="宋体" w:eastAsia="方正仿宋_GBK"/>
        </w:rPr>
        <w:t>（二）组织机构代码证复印件</w:t>
      </w: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widowControl/>
        <w:ind w:firstLine="560" w:firstLineChars="200"/>
        <w:jc w:val="left"/>
        <w:rPr>
          <w:rFonts w:ascii="方正仿宋_GBK" w:hAnsi="宋体" w:eastAsia="方正仿宋_GBK"/>
        </w:rPr>
      </w:pPr>
      <w:r>
        <w:rPr>
          <w:rFonts w:ascii="方正仿宋_GBK" w:hAnsi="宋体" w:eastAsia="方正仿宋_GBK"/>
        </w:rPr>
        <w:br w:type="page"/>
      </w:r>
      <w:r>
        <w:rPr>
          <w:rFonts w:hint="eastAsia" w:ascii="方正仿宋_GBK" w:hAnsi="宋体" w:eastAsia="方正仿宋_GBK"/>
        </w:rPr>
        <w:t>（三）法定代表人身份证明书（格式）</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rPr>
      </w:pPr>
      <w:r>
        <w:br w:type="column"/>
      </w:r>
      <w:r>
        <w:rPr>
          <w:rFonts w:hint="eastAsia" w:ascii="方正仿宋_GBK" w:hAnsi="宋体" w:eastAsia="方正仿宋_GBK"/>
        </w:rPr>
        <w:t>（四）法定代表人授权委托书（格式）</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pPr>
        <w:tabs>
          <w:tab w:val="left" w:pos="6300"/>
        </w:tabs>
        <w:snapToGrid w:val="0"/>
        <w:spacing w:line="500" w:lineRule="exact"/>
        <w:ind w:firstLine="570"/>
        <w:rPr>
          <w:rFonts w:ascii="方正仿宋_GBK" w:hAnsi="宋体" w:eastAsia="方正仿宋_GBK"/>
          <w:sz w:val="24"/>
          <w:szCs w:val="28"/>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firstLine="570"/>
        <w:rPr>
          <w:rFonts w:ascii="方正仿宋_GBK" w:hAnsi="宋体" w:eastAsia="方正仿宋_GBK"/>
        </w:rPr>
      </w:pPr>
      <w:r>
        <w:rPr>
          <w:rFonts w:ascii="宋体" w:hAnsi="宋体"/>
        </w:rPr>
        <w:br w:type="column"/>
      </w:r>
      <w:r>
        <w:rPr>
          <w:rFonts w:hint="eastAsia" w:ascii="方正仿宋_GBK" w:hAnsi="宋体" w:eastAsia="方正仿宋_GBK"/>
        </w:rPr>
        <w:t>（五）提供</w:t>
      </w:r>
      <w:r>
        <w:rPr>
          <w:rFonts w:hint="eastAsia" w:ascii="方正仿宋_GBK" w:hAnsi="宋体" w:eastAsia="方正仿宋_GBK"/>
          <w:lang w:val="en-US" w:eastAsia="zh-CN"/>
        </w:rPr>
        <w:t>最近一年</w:t>
      </w:r>
      <w:r>
        <w:rPr>
          <w:rFonts w:hint="eastAsia" w:ascii="方正仿宋_GBK" w:hAnsi="宋体" w:eastAsia="方正仿宋_GBK"/>
        </w:rPr>
        <w:t>年度财务状况报告（表）复印件，本年度新成立的公司提供提交响应文件截止时间前一个月的财务状况报告（表）复印件（新成立公司不足一个月的除外）。</w:t>
      </w:r>
    </w:p>
    <w:p>
      <w:pPr>
        <w:tabs>
          <w:tab w:val="left" w:pos="6300"/>
        </w:tabs>
        <w:snapToGrid w:val="0"/>
        <w:spacing w:line="500" w:lineRule="exact"/>
        <w:ind w:firstLine="3220" w:firstLineChars="1150"/>
        <w:rPr>
          <w:rFonts w:ascii="方正仿宋_GBK" w:hAnsi="宋体" w:eastAsia="方正仿宋_GBK"/>
          <w:sz w:val="24"/>
        </w:rPr>
      </w:pPr>
      <w:r>
        <w:rPr>
          <w:rFonts w:ascii="方正仿宋_GBK" w:hAnsi="宋体" w:eastAsia="方正仿宋_GBK"/>
        </w:rPr>
        <w:br w:type="page"/>
      </w:r>
      <w:r>
        <w:rPr>
          <w:rFonts w:hint="eastAsia" w:ascii="方正仿宋_GBK" w:hAnsi="宋体" w:eastAsia="方正仿宋_GBK"/>
        </w:rPr>
        <w:t>（六）书面声明</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（采购机构名称）：</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（供应商名称）</w:t>
      </w:r>
      <w:r>
        <w:rPr>
          <w:rFonts w:hint="eastAsia" w:ascii="方正仿宋_GBK" w:hAnsi="仿宋" w:eastAsia="方正仿宋_GBK"/>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特此声明。</w:t>
      </w:r>
    </w:p>
    <w:p>
      <w:pPr>
        <w:tabs>
          <w:tab w:val="left" w:pos="6300"/>
        </w:tabs>
        <w:snapToGrid w:val="0"/>
        <w:spacing w:line="500" w:lineRule="exact"/>
        <w:ind w:firstLine="570"/>
        <w:rPr>
          <w:rFonts w:ascii="方正仿宋_GBK" w:hAnsi="宋体" w:eastAsia="方正仿宋_GBK"/>
          <w:sz w:val="24"/>
        </w:rPr>
      </w:pPr>
    </w:p>
    <w:p>
      <w:pPr>
        <w:snapToGrid w:val="0"/>
        <w:spacing w:line="400" w:lineRule="exact"/>
        <w:ind w:firstLine="480" w:firstLineChars="200"/>
        <w:rPr>
          <w:rFonts w:ascii="方正仿宋_GBK" w:hAnsi="宋体" w:eastAsia="方正仿宋_GBK"/>
          <w:sz w:val="24"/>
          <w:szCs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right="424"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firstLine="560" w:firstLineChars="200"/>
        <w:rPr>
          <w:rFonts w:ascii="方正仿宋_GBK" w:hAnsi="宋体" w:eastAsia="方正仿宋_GBK"/>
        </w:rPr>
      </w:pPr>
      <w:r>
        <w:rPr>
          <w:rFonts w:ascii="宋体" w:hAnsi="宋体"/>
        </w:rPr>
        <w:br w:type="page"/>
      </w:r>
      <w:r>
        <w:rPr>
          <w:rFonts w:hint="eastAsia" w:ascii="方正仿宋_GBK" w:hAnsi="宋体" w:eastAsia="方正仿宋_GBK"/>
        </w:rPr>
        <w:t>（七）税务登记证（副本）复印件</w:t>
      </w:r>
    </w:p>
    <w:p>
      <w:pPr>
        <w:tabs>
          <w:tab w:val="left" w:pos="6300"/>
        </w:tabs>
        <w:snapToGrid w:val="0"/>
        <w:spacing w:line="500" w:lineRule="exact"/>
        <w:ind w:firstLine="560"/>
        <w:rPr>
          <w:rFonts w:ascii="方正仿宋_GBK" w:hAnsi="仿宋" w:eastAsia="方正仿宋_GBK"/>
        </w:rPr>
      </w:pPr>
      <w:r>
        <w:rPr>
          <w:rFonts w:hint="eastAsia" w:ascii="方正仿宋_GBK" w:hAnsi="仿宋" w:eastAsia="方正仿宋_GBK"/>
        </w:rPr>
        <w:t>（八）缴纳社会保障金的证明材料复印件</w:t>
      </w:r>
    </w:p>
    <w:p>
      <w:pPr>
        <w:tabs>
          <w:tab w:val="left" w:pos="6300"/>
        </w:tabs>
        <w:snapToGrid w:val="0"/>
        <w:spacing w:line="500" w:lineRule="exact"/>
        <w:ind w:firstLine="560" w:firstLineChars="200"/>
        <w:rPr>
          <w:rFonts w:ascii="方正仿宋_GBK" w:hAnsi="仿宋" w:eastAsia="方正仿宋_GBK"/>
        </w:rPr>
      </w:pPr>
      <w:r>
        <w:rPr>
          <w:rFonts w:hint="eastAsia" w:ascii="方正仿宋_GBK" w:hAnsi="仿宋" w:eastAsia="方正仿宋_GBK"/>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tabs>
          <w:tab w:val="left" w:pos="6300"/>
        </w:tabs>
        <w:snapToGrid w:val="0"/>
        <w:spacing w:line="500" w:lineRule="exact"/>
        <w:ind w:firstLine="560"/>
        <w:rPr>
          <w:rFonts w:ascii="方正仿宋_GBK" w:hAnsi="仿宋" w:eastAsia="方正仿宋_GBK"/>
        </w:rPr>
      </w:pPr>
    </w:p>
    <w:p>
      <w:pPr>
        <w:tabs>
          <w:tab w:val="left" w:pos="6300"/>
        </w:tabs>
        <w:snapToGrid w:val="0"/>
        <w:spacing w:line="500" w:lineRule="exact"/>
        <w:ind w:firstLine="560"/>
        <w:rPr>
          <w:rFonts w:ascii="方正仿宋_GBK" w:hAnsi="仿宋" w:eastAsia="方正仿宋_GBK"/>
        </w:rPr>
      </w:pPr>
      <w:r>
        <w:rPr>
          <w:rFonts w:hint="eastAsia" w:ascii="方正仿宋_GBK" w:hAnsi="仿宋" w:eastAsia="方正仿宋_GBK"/>
        </w:rPr>
        <w:t>说明：供应商按“五证合一”登记制度办理营业执照的，组织机构代码证、税务登记证（副本）和社会保险登记证以供应商所提供的营业执照（副本）复印件为准。</w:t>
      </w:r>
    </w:p>
    <w:p>
      <w:pPr>
        <w:pStyle w:val="3"/>
        <w:spacing w:line="360" w:lineRule="auto"/>
        <w:rPr>
          <w:rFonts w:hint="eastAsia" w:ascii="方正仿宋_GBK" w:hAnsi="仿宋" w:eastAsia="方正仿宋_GBK"/>
        </w:rPr>
      </w:pPr>
      <w:r>
        <w:rPr>
          <w:rFonts w:ascii="方正仿宋_GBK" w:hAnsi="宋体" w:eastAsia="方正仿宋_GBK"/>
          <w:sz w:val="24"/>
          <w:szCs w:val="24"/>
        </w:rPr>
        <w:br w:type="page"/>
      </w:r>
      <w:bookmarkStart w:id="84" w:name="_Toc511909627"/>
      <w:r>
        <w:rPr>
          <w:rFonts w:hint="eastAsia" w:ascii="方正仿宋_GBK" w:hAnsi="宋体" w:eastAsia="方正仿宋_GBK"/>
          <w:sz w:val="24"/>
          <w:szCs w:val="24"/>
        </w:rPr>
        <w:t>五、</w:t>
      </w:r>
      <w:bookmarkEnd w:id="81"/>
      <w:bookmarkEnd w:id="82"/>
      <w:bookmarkEnd w:id="83"/>
      <w:r>
        <w:rPr>
          <w:rFonts w:hint="eastAsia" w:ascii="方正仿宋_GBK" w:eastAsia="方正仿宋_GBK"/>
          <w:sz w:val="24"/>
          <w:szCs w:val="24"/>
        </w:rPr>
        <w:t>其他应提供的资料</w:t>
      </w:r>
      <w:bookmarkEnd w:id="84"/>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（一）中小企业声明函、监狱企业证明文件、残疾人福利性单位声明函</w:t>
      </w:r>
    </w:p>
    <w:p>
      <w:pPr>
        <w:tabs>
          <w:tab w:val="left" w:pos="6300"/>
        </w:tabs>
        <w:snapToGrid w:val="0"/>
        <w:spacing w:line="500" w:lineRule="exact"/>
        <w:jc w:val="center"/>
        <w:rPr>
          <w:rFonts w:hint="eastAsia" w:ascii="方正仿宋_GBK" w:hAnsi="仿宋" w:eastAsia="方正仿宋_GBK"/>
        </w:rPr>
      </w:pPr>
      <w:r>
        <w:rPr>
          <w:rFonts w:hint="eastAsia" w:ascii="方正仿宋_GBK" w:hAnsi="仿宋" w:eastAsia="方正仿宋_GBK"/>
        </w:rPr>
        <w:t>中小企业声明函（货物类）</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本公司（联合体）郑重声明，根据《政府采购促进中小企业发展管理办法》（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）的规定，本公司（联合体）参加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采购活动，提供的货物全部由符合政策要求的中小企业制造。相关企业（含联合体中的中小企业、签订分包意向协议的中小企业）的具体情况如下：</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right="782" w:firstLine="480" w:firstLineChars="200"/>
        <w:rPr>
          <w:rFonts w:hint="eastAsia" w:ascii="方正仿宋_GBK" w:hAnsi="仿宋" w:eastAsia="方正仿宋_GBK"/>
          <w:sz w:val="24"/>
        </w:rPr>
      </w:pPr>
      <w:r>
        <w:rPr>
          <w:rFonts w:ascii="方正仿宋_GBK" w:hAnsi="仿宋" w:eastAsia="方正仿宋_GBK"/>
          <w:sz w:val="24"/>
        </w:rPr>
        <w:t>……</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 xml:space="preserve">                                                    </w:t>
      </w:r>
    </w:p>
    <w:p>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 xml:space="preserve">企业名称（盖章）： </w:t>
      </w:r>
    </w:p>
    <w:p>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日期：</w:t>
      </w:r>
    </w:p>
    <w:p>
      <w:pPr>
        <w:tabs>
          <w:tab w:val="left" w:pos="6300"/>
        </w:tabs>
        <w:snapToGrid w:val="0"/>
        <w:spacing w:line="420" w:lineRule="exact"/>
        <w:jc w:val="left"/>
        <w:rPr>
          <w:rFonts w:hint="eastAsia" w:ascii="方正仿宋_GBK" w:hAnsi="宋体" w:eastAsia="方正仿宋_GBK" w:cs="宋体"/>
          <w:kern w:val="0"/>
          <w:sz w:val="21"/>
          <w:szCs w:val="21"/>
        </w:rPr>
      </w:pPr>
    </w:p>
    <w:p>
      <w:pPr>
        <w:tabs>
          <w:tab w:val="left" w:pos="6300"/>
        </w:tabs>
        <w:snapToGrid w:val="0"/>
        <w:spacing w:line="420" w:lineRule="exact"/>
        <w:jc w:val="left"/>
        <w:rPr>
          <w:rFonts w:hint="eastAsia" w:ascii="方正仿宋_GBK" w:hAnsi="宋体" w:eastAsia="方正仿宋_GBK" w:cs="宋体"/>
          <w:kern w:val="0"/>
          <w:sz w:val="21"/>
          <w:szCs w:val="21"/>
        </w:rPr>
      </w:pPr>
    </w:p>
    <w:p>
      <w:pPr>
        <w:tabs>
          <w:tab w:val="left" w:pos="6300"/>
        </w:tabs>
        <w:snapToGrid w:val="0"/>
        <w:spacing w:line="420" w:lineRule="exact"/>
        <w:jc w:val="left"/>
        <w:rPr>
          <w:rFonts w:hint="eastAsia" w:ascii="方正仿宋_GBK" w:hAnsi="宋体" w:eastAsia="方正仿宋_GBK" w:cs="宋体"/>
          <w:kern w:val="0"/>
          <w:sz w:val="21"/>
          <w:szCs w:val="21"/>
        </w:rPr>
      </w:pPr>
    </w:p>
    <w:p>
      <w:pPr>
        <w:tabs>
          <w:tab w:val="left" w:pos="6300"/>
        </w:tabs>
        <w:snapToGrid w:val="0"/>
        <w:spacing w:line="42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pPr>
        <w:tabs>
          <w:tab w:val="left" w:pos="6300"/>
        </w:tabs>
        <w:snapToGrid w:val="0"/>
        <w:spacing w:line="420" w:lineRule="exact"/>
        <w:ind w:firstLine="420" w:firstLineChars="200"/>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pPr>
        <w:tabs>
          <w:tab w:val="left" w:pos="6300"/>
        </w:tabs>
        <w:snapToGrid w:val="0"/>
        <w:spacing w:line="420" w:lineRule="exact"/>
        <w:ind w:firstLine="420" w:firstLineChars="200"/>
        <w:jc w:val="left"/>
        <w:rPr>
          <w:rFonts w:hint="eastAsia"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2.中小企业应当按照《中小企业划型标准规定》（工信部联企业〔2011〕300号），如实填写并提交《中小企业声明函》。</w:t>
      </w:r>
    </w:p>
    <w:p>
      <w:pPr>
        <w:tabs>
          <w:tab w:val="left" w:pos="6300"/>
        </w:tabs>
        <w:snapToGrid w:val="0"/>
        <w:spacing w:line="420" w:lineRule="exact"/>
        <w:ind w:firstLine="420" w:firstLineChars="200"/>
        <w:jc w:val="left"/>
        <w:rPr>
          <w:rFonts w:hint="eastAsia"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3.投标人填写《中小企业声明函》中所属行业时，应与采购文件第一篇“采购标的对应的中小企业划分标准所属行业”中填写的所属行业一致。</w:t>
      </w:r>
    </w:p>
    <w:p>
      <w:pPr>
        <w:tabs>
          <w:tab w:val="left" w:pos="6300"/>
        </w:tabs>
        <w:snapToGrid w:val="0"/>
        <w:spacing w:line="500" w:lineRule="exact"/>
        <w:rPr>
          <w:rFonts w:hint="eastAsia" w:ascii="方正仿宋_GBK" w:hAnsi="仿宋" w:eastAsia="方正仿宋_GBK"/>
          <w:sz w:val="21"/>
          <w:szCs w:val="21"/>
        </w:rPr>
      </w:pPr>
      <w:r>
        <w:rPr>
          <w:rFonts w:ascii="方正仿宋_GBK" w:hAnsi="仿宋" w:eastAsia="方正仿宋_GBK"/>
          <w:sz w:val="24"/>
          <w:szCs w:val="28"/>
        </w:rPr>
        <w:br w:type="page"/>
      </w:r>
      <w:r>
        <w:rPr>
          <w:rFonts w:hint="eastAsia" w:ascii="方正仿宋_GBK" w:hAnsi="仿宋" w:eastAsia="方正仿宋_GBK"/>
          <w:sz w:val="21"/>
          <w:szCs w:val="21"/>
        </w:rPr>
        <w:t>注：各行业划型标准：</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560"/>
        <w:jc w:val="center"/>
        <w:rPr>
          <w:rFonts w:hint="eastAsia" w:ascii="方正仿宋_GBK" w:hAnsi="仿宋" w:eastAsia="方正仿宋_GBK"/>
          <w:szCs w:val="28"/>
        </w:rPr>
      </w:pPr>
      <w:r>
        <w:rPr>
          <w:rFonts w:ascii="方正仿宋_GBK" w:hAnsi="仿宋" w:eastAsia="方正仿宋_GBK"/>
        </w:rPr>
        <w:br w:type="page"/>
      </w:r>
      <w:r>
        <w:rPr>
          <w:rFonts w:hint="eastAsia" w:ascii="方正仿宋_GBK" w:hAnsi="仿宋" w:eastAsia="方正仿宋_GBK"/>
          <w:szCs w:val="28"/>
        </w:rPr>
        <w:t>监狱企业证明文件</w:t>
      </w:r>
    </w:p>
    <w:p>
      <w:pPr>
        <w:tabs>
          <w:tab w:val="left" w:pos="6300"/>
        </w:tabs>
        <w:snapToGrid w:val="0"/>
        <w:spacing w:line="400" w:lineRule="exact"/>
        <w:ind w:firstLine="561"/>
        <w:jc w:val="left"/>
        <w:rPr>
          <w:rFonts w:hint="eastAsia" w:ascii="方正仿宋_GBK" w:hAnsi="仿宋" w:eastAsia="方正仿宋_GBK"/>
          <w:sz w:val="24"/>
          <w:szCs w:val="24"/>
        </w:rPr>
      </w:pPr>
      <w:r>
        <w:rPr>
          <w:rFonts w:hint="eastAsia" w:ascii="方正仿宋_GBK" w:hAnsi="仿宋" w:eastAsia="方正仿宋_GBK"/>
          <w:sz w:val="24"/>
          <w:szCs w:val="24"/>
        </w:rPr>
        <w:t>以省级以上监狱管理局、戒毒管理局（含新疆生产建设兵团）出具的属于监狱企业的证明文件为准。</w:t>
      </w:r>
    </w:p>
    <w:p>
      <w:pPr>
        <w:tabs>
          <w:tab w:val="left" w:pos="6300"/>
        </w:tabs>
        <w:snapToGrid w:val="0"/>
        <w:spacing w:line="400" w:lineRule="exact"/>
        <w:ind w:firstLine="561"/>
        <w:jc w:val="center"/>
        <w:rPr>
          <w:rFonts w:hint="eastAsia" w:ascii="方正仿宋_GBK" w:hAnsi="仿宋" w:eastAsia="方正仿宋_GBK"/>
          <w:szCs w:val="28"/>
        </w:rPr>
      </w:pPr>
      <w:r>
        <w:rPr>
          <w:rFonts w:hint="eastAsia" w:ascii="方正仿宋_GBK" w:hAnsi="仿宋" w:eastAsia="方正仿宋_GBK"/>
          <w:szCs w:val="28"/>
        </w:rPr>
        <w:br w:type="page"/>
      </w:r>
      <w:r>
        <w:rPr>
          <w:rFonts w:hint="eastAsia" w:ascii="方正仿宋_GBK" w:hAnsi="仿宋" w:eastAsia="方正仿宋_GBK"/>
        </w:rPr>
        <w:t xml:space="preserve"> </w:t>
      </w:r>
      <w:r>
        <w:rPr>
          <w:rFonts w:hint="eastAsia" w:ascii="方正仿宋_GBK" w:hAnsi="仿宋" w:eastAsia="方正仿宋_GBK"/>
          <w:szCs w:val="28"/>
        </w:rPr>
        <w:t>残疾人福利性单位声明函</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投标人名称（盖章）：</w:t>
      </w:r>
    </w:p>
    <w:p>
      <w:pPr>
        <w:tabs>
          <w:tab w:val="left" w:pos="6300"/>
        </w:tabs>
        <w:snapToGrid w:val="0"/>
        <w:spacing w:line="500" w:lineRule="exact"/>
        <w:ind w:firstLine="570"/>
        <w:jc w:val="left"/>
        <w:rPr>
          <w:rFonts w:hint="eastAsia" w:ascii="方正仿宋_GBK" w:hAnsi="仿宋" w:eastAsia="方正仿宋_GBK"/>
          <w:sz w:val="24"/>
        </w:rPr>
      </w:pPr>
      <w:r>
        <w:rPr>
          <w:rFonts w:hint="eastAsia" w:ascii="方正仿宋_GBK" w:hAnsi="仿宋" w:eastAsia="方正仿宋_GBK"/>
          <w:sz w:val="24"/>
        </w:rPr>
        <w:t xml:space="preserve">                                                日   期：</w:t>
      </w: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rPr>
      </w:pPr>
      <w:r>
        <w:rPr>
          <w:rFonts w:hint="eastAsia" w:ascii="方正仿宋_GBK" w:hAnsi="宋体" w:eastAsia="方正仿宋_GBK" w:cs="宋体"/>
          <w:kern w:val="0"/>
          <w:sz w:val="24"/>
        </w:rPr>
        <w:t>若中标人为残疾人福利性单位的，将在结果公告时公告其《残疾人福利性单位声明函》。</w:t>
      </w:r>
    </w:p>
    <w:p>
      <w:r>
        <w:rPr>
          <w:rFonts w:hint="eastAsia" w:ascii="方正仿宋_GBK" w:hAnsi="仿宋" w:eastAsia="方正仿宋_GBK"/>
        </w:rPr>
        <w:br w:type="page"/>
      </w:r>
    </w:p>
    <w:p>
      <w:pPr>
        <w:spacing w:line="360" w:lineRule="auto"/>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其他与项目有关的资料（自附）</w:t>
      </w: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560" w:firstLineChars="200"/>
        <w:jc w:val="center"/>
        <w:rPr>
          <w:rFonts w:ascii="方正仿宋_GBK" w:hAnsi="仿宋" w:eastAsia="方正仿宋_GBK"/>
        </w:rPr>
      </w:pPr>
      <w:r>
        <w:rPr>
          <w:rFonts w:hint="eastAsia" w:ascii="方正仿宋_GBK" w:hAnsi="仿宋" w:eastAsia="方正仿宋_GBK"/>
        </w:rPr>
        <w:t>（结束）</w:t>
      </w:r>
    </w:p>
    <w:p/>
    <w:p/>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黑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1" w:usb1="080E0000" w:usb2="00000000" w:usb3="00000000" w:csb0="00040000" w:csb1="00000000"/>
  </w:font>
  <w:font w:name="方正楷体_GBK">
    <w:altName w:val="宋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1" w:usb1="080E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Helvetica Neue">
    <w:altName w:val="微软雅黑"/>
    <w:panose1 w:val="00000000000000000000"/>
    <w:charset w:val="00"/>
    <w:family w:val="auto"/>
    <w:pitch w:val="default"/>
    <w:sig w:usb0="00000000" w:usb1="00000000" w:usb2="00000000" w:usb3="00000000" w:csb0="00040001" w:csb1="00000000"/>
  </w:font>
  <w:font w:name="昆仑楷体">
    <w:altName w:val="宋体"/>
    <w:panose1 w:val="00000000000000000000"/>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rPr>
        <w:rFonts w:ascii="宋体" w:hAnsi="宋体"/>
        <w:sz w:val="21"/>
        <w:szCs w:val="21"/>
      </w:rP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- 7 -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framePr w:wrap="around" w:hAnchor="margin" w:vAnchor="text" w:xAlign="center" w:y="1"/>
      <w:rPr>
        <w:rStyle w:val="15"/>
      </w:rPr>
    </w:pPr>
    <w:r>
      <w:fldChar w:fldCharType="begin"/>
    </w:r>
    <w:r>
      <w:rPr>
        <w:rStyle w:val="15"/>
      </w:rPr>
      <w:instrText xml:space="preserve">PAGE  </w:instrText>
    </w:r>
    <w:r>
      <w:fldChar w:fldCharType="separate"/>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rPr>
        <w:rFonts w:ascii="宋体" w:hAnsi="宋体"/>
        <w:sz w:val="21"/>
        <w:szCs w:val="21"/>
      </w:rP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- 31 -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both"/>
      <w:rPr>
        <w:rFonts w:ascii="方正仿宋_GBK" w:eastAsia="方正仿宋_GBK"/>
        <w:sz w:val="21"/>
        <w:szCs w:val="21"/>
      </w:rPr>
    </w:pPr>
    <w:r>
      <w:rPr>
        <w:rFonts w:hint="eastAsia" w:ascii="方正仿宋_GBK" w:eastAsia="方正仿宋_GBK"/>
        <w:sz w:val="21"/>
        <w:szCs w:val="21"/>
      </w:rPr>
      <w:t>重庆市合川区人民医院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both"/>
      <w:rPr>
        <w:rFonts w:ascii="方正仿宋_GBK" w:eastAsia="方正仿宋_GBK"/>
        <w:sz w:val="21"/>
        <w:szCs w:val="21"/>
      </w:rPr>
    </w:pPr>
    <w:r>
      <w:rPr>
        <w:rFonts w:hint="eastAsia" w:ascii="方正仿宋_GBK" w:eastAsia="方正仿宋_GBK"/>
        <w:sz w:val="21"/>
        <w:szCs w:val="21"/>
      </w:rPr>
      <w:t>重庆市合川区人民医院                                                  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both"/>
      <w:rPr>
        <w:rFonts w:ascii="方正仿宋_GBK" w:eastAsia="方正仿宋_GBK"/>
        <w:sz w:val="21"/>
        <w:szCs w:val="21"/>
      </w:rPr>
    </w:pPr>
    <w:r>
      <w:rPr>
        <w:rFonts w:hint="eastAsia" w:ascii="方正仿宋_GBK" w:eastAsia="方正仿宋_GBK"/>
        <w:sz w:val="21"/>
        <w:szCs w:val="21"/>
      </w:rPr>
      <w:t>重庆市合川区人民医院                                                    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99"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99"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8"/>
      <w:szCs w:val="22"/>
      <w:lang w:val="en-US" w:eastAsia="zh-CN" w:bidi="ar-SA"/>
    </w:rPr>
  </w:style>
  <w:style w:type="paragraph" w:styleId="2">
    <w:name w:val="heading 2"/>
    <w:basedOn w:val="1"/>
    <w:next w:val="1"/>
    <w:link w:val="22"/>
    <w:unhideWhenUsed/>
    <w:qFormat/>
    <w:uiPriority w:val="0"/>
    <w:pPr>
      <w:keepNext/>
      <w:keepLines/>
      <w:spacing w:line="413" w:lineRule="auto"/>
      <w:outlineLvl w:val="1"/>
    </w:pPr>
    <w:rPr>
      <w:rFonts w:ascii="Arial" w:hAnsi="Arial" w:eastAsia="黑体"/>
      <w:b/>
      <w:sz w:val="32"/>
    </w:rPr>
  </w:style>
  <w:style w:type="paragraph" w:styleId="3">
    <w:name w:val="heading 3"/>
    <w:basedOn w:val="1"/>
    <w:next w:val="1"/>
    <w:link w:val="23"/>
    <w:unhideWhenUsed/>
    <w:qFormat/>
    <w:uiPriority w:val="0"/>
    <w:pPr>
      <w:keepNext/>
      <w:keepLines/>
      <w:spacing w:line="413" w:lineRule="auto"/>
      <w:outlineLvl w:val="2"/>
    </w:pPr>
    <w:rPr>
      <w:b/>
      <w:sz w:val="32"/>
    </w:rPr>
  </w:style>
  <w:style w:type="character" w:default="1" w:styleId="14">
    <w:name w:val="Default Paragraph Font"/>
    <w:semiHidden/>
    <w:unhideWhenUsed/>
    <w:uiPriority w:val="1"/>
  </w:style>
  <w:style w:type="paragraph" w:styleId="4">
    <w:name w:val="Body Text Indent"/>
    <w:basedOn w:val="1"/>
    <w:link w:val="26"/>
    <w:unhideWhenUsed/>
    <w:uiPriority w:val="99"/>
    <w:pPr>
      <w:spacing w:line="360" w:lineRule="auto"/>
      <w:ind w:firstLine="480" w:firstLineChars="200"/>
    </w:pPr>
    <w:rPr>
      <w:rFonts w:ascii="宋体" w:hAnsi="宋体" w:eastAsia="宋体"/>
      <w:sz w:val="24"/>
      <w:szCs w:val="28"/>
    </w:rPr>
  </w:style>
  <w:style w:type="paragraph" w:styleId="5">
    <w:name w:val="toc 3"/>
    <w:basedOn w:val="1"/>
    <w:next w:val="1"/>
    <w:qFormat/>
    <w:uiPriority w:val="0"/>
    <w:pPr>
      <w:ind w:left="840" w:leftChars="400"/>
    </w:pPr>
  </w:style>
  <w:style w:type="paragraph" w:styleId="6">
    <w:name w:val="Plain Text"/>
    <w:basedOn w:val="1"/>
    <w:link w:val="25"/>
    <w:semiHidden/>
    <w:unhideWhenUsed/>
    <w:uiPriority w:val="99"/>
    <w:rPr>
      <w:rFonts w:ascii="宋体" w:hAnsi="Courier New" w:eastAsia="宋体" w:cs="Courier New"/>
      <w:sz w:val="21"/>
      <w:szCs w:val="21"/>
    </w:rPr>
  </w:style>
  <w:style w:type="paragraph" w:styleId="7">
    <w:name w:val="Date"/>
    <w:basedOn w:val="1"/>
    <w:next w:val="1"/>
    <w:link w:val="24"/>
    <w:qFormat/>
    <w:uiPriority w:val="0"/>
  </w:style>
  <w:style w:type="paragraph" w:styleId="8">
    <w:name w:val="Body Text Indent 2"/>
    <w:basedOn w:val="1"/>
    <w:link w:val="27"/>
    <w:semiHidden/>
    <w:unhideWhenUsed/>
    <w:uiPriority w:val="99"/>
    <w:pPr>
      <w:snapToGrid w:val="0"/>
      <w:spacing w:line="440" w:lineRule="atLeast"/>
      <w:ind w:firstLine="570"/>
    </w:pPr>
    <w:rPr>
      <w:rFonts w:ascii="宋体"/>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uiPriority w:val="39"/>
  </w:style>
  <w:style w:type="paragraph" w:styleId="12">
    <w:name w:val="toc 2"/>
    <w:basedOn w:val="1"/>
    <w:next w:val="1"/>
    <w:qFormat/>
    <w:uiPriority w:val="0"/>
    <w:pPr>
      <w:ind w:left="420" w:leftChars="200"/>
    </w:pPr>
  </w:style>
  <w:style w:type="paragraph" w:styleId="1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page number"/>
    <w:basedOn w:val="14"/>
    <w:qFormat/>
    <w:uiPriority w:val="0"/>
    <w:rPr/>
  </w:style>
  <w:style w:type="character" w:styleId="16">
    <w:name w:val="Hyperlink"/>
    <w:qFormat/>
    <w:uiPriority w:val="0"/>
    <w:rPr>
      <w:color w:val="0000FF"/>
      <w:u w:val="single"/>
    </w:rPr>
  </w:style>
  <w:style w:type="paragraph" w:customStyle="1" w:styleId="17">
    <w:name w:val="图例"/>
    <w:basedOn w:val="1"/>
    <w:qFormat/>
    <w:uiPriority w:val="0"/>
    <w:pPr>
      <w:spacing w:line="360" w:lineRule="auto"/>
      <w:jc w:val="center"/>
    </w:pPr>
    <w:rPr>
      <w:rFonts w:eastAsia="仿宋_GB2312"/>
      <w:b/>
      <w:sz w:val="24"/>
    </w:rPr>
  </w:style>
  <w:style w:type="paragraph" w:customStyle="1" w:styleId="18">
    <w:name w:val="1"/>
    <w:basedOn w:val="1"/>
    <w:next w:val="6"/>
    <w:qFormat/>
    <w:uiPriority w:val="0"/>
    <w:rPr>
      <w:rFonts w:ascii="宋体" w:hAnsi="Courier New"/>
      <w:sz w:val="21"/>
    </w:rPr>
  </w:style>
  <w:style w:type="paragraph" w:customStyle="1" w:styleId="19">
    <w:name w:val="Normal"/>
    <w:qFormat/>
    <w:uiPriority w:val="0"/>
    <w:pPr>
      <w:jc w:val="both"/>
    </w:pPr>
    <w:rPr>
      <w:rFonts w:ascii="Calibri" w:hAnsi="Calibri" w:eastAsia="宋体" w:cs="Calibri"/>
      <w:kern w:val="2"/>
      <w:sz w:val="21"/>
      <w:szCs w:val="21"/>
      <w:lang w:val="en-US" w:eastAsia="zh-CN" w:bidi="ar-SA"/>
    </w:rPr>
  </w:style>
  <w:style w:type="character" w:customStyle="1" w:styleId="20">
    <w:name w:val="页眉 Char"/>
    <w:basedOn w:val="14"/>
    <w:link w:val="10"/>
    <w:uiPriority w:val="0"/>
    <w:rPr>
      <w:sz w:val="18"/>
      <w:szCs w:val="18"/>
    </w:rPr>
  </w:style>
  <w:style w:type="character" w:customStyle="1" w:styleId="21">
    <w:name w:val="页脚 Char"/>
    <w:basedOn w:val="14"/>
    <w:link w:val="9"/>
    <w:semiHidden/>
    <w:uiPriority w:val="99"/>
    <w:rPr>
      <w:sz w:val="18"/>
      <w:szCs w:val="18"/>
    </w:rPr>
  </w:style>
  <w:style w:type="character" w:customStyle="1" w:styleId="22">
    <w:name w:val="标题 2 Char"/>
    <w:basedOn w:val="14"/>
    <w:link w:val="2"/>
    <w:uiPriority w:val="0"/>
    <w:rPr>
      <w:rFonts w:ascii="Arial" w:hAnsi="Arial" w:eastAsia="黑体"/>
      <w:b/>
      <w:sz w:val="32"/>
    </w:rPr>
  </w:style>
  <w:style w:type="character" w:customStyle="1" w:styleId="23">
    <w:name w:val="标题 3 Char"/>
    <w:basedOn w:val="14"/>
    <w:link w:val="3"/>
    <w:uiPriority w:val="0"/>
    <w:rPr>
      <w:b/>
      <w:sz w:val="32"/>
    </w:rPr>
  </w:style>
  <w:style w:type="character" w:customStyle="1" w:styleId="24">
    <w:name w:val="日期 Char"/>
    <w:basedOn w:val="14"/>
    <w:link w:val="7"/>
    <w:uiPriority w:val="0"/>
    <w:rPr>
      <w:sz w:val="28"/>
    </w:rPr>
  </w:style>
  <w:style w:type="character" w:customStyle="1" w:styleId="25">
    <w:name w:val="纯文本 Char"/>
    <w:basedOn w:val="14"/>
    <w:link w:val="6"/>
    <w:semiHidden/>
    <w:uiPriority w:val="99"/>
    <w:rPr>
      <w:rFonts w:ascii="宋体" w:hAnsi="Courier New" w:eastAsia="宋体" w:cs="Courier New"/>
      <w:szCs w:val="21"/>
    </w:rPr>
  </w:style>
  <w:style w:type="character" w:customStyle="1" w:styleId="26">
    <w:name w:val="正文文本缩进 Char"/>
    <w:basedOn w:val="14"/>
    <w:link w:val="4"/>
    <w:uiPriority w:val="99"/>
    <w:rPr>
      <w:rFonts w:ascii="宋体" w:hAnsi="宋体" w:eastAsia="宋体"/>
      <w:sz w:val="24"/>
      <w:szCs w:val="28"/>
    </w:rPr>
  </w:style>
  <w:style w:type="character" w:customStyle="1" w:styleId="27">
    <w:name w:val="正文文本缩进 2 Char"/>
    <w:basedOn w:val="14"/>
    <w:link w:val="8"/>
    <w:semiHidden/>
    <w:uiPriority w:val="99"/>
    <w:rPr>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2522</Words>
  <Characters>14377</Characters>
  <Lines>119</Lines>
  <Paragraphs>33</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2020-04-28T08:11:00Z</dcterms:created>
  <dc:creator>user</dc:creator>
  <cp:lastModifiedBy>zbb</cp:lastModifiedBy>
  <dcterms:modified xsi:type="dcterms:W3CDTF">2022-03-16T03:21:12Z</dcterms:modified>
  <dc:title>竞争性谈判文件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y fmtid="{D5CDD505-2E9C-101B-9397-08002B2CF9AE}" pid="3" name="ICV">
    <vt:lpwstr>D5C40622CD314D388923027CE48EC3A0</vt:lpwstr>
  </property>
</Properties>
</file>